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902E8" w14:textId="352BFFDD" w:rsidR="00602ED7" w:rsidRPr="00646944" w:rsidRDefault="00646944" w:rsidP="00646944">
      <w:pPr>
        <w:pStyle w:val="Standard"/>
        <w:jc w:val="center"/>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Proposal for a </w:t>
      </w:r>
      <w:r w:rsidR="00602ED7" w:rsidRPr="00646944">
        <w:rPr>
          <w:rFonts w:asciiTheme="minorHAnsi" w:hAnsiTheme="minorHAnsi" w:cstheme="minorHAnsi"/>
          <w:b/>
          <w:bCs/>
          <w:sz w:val="22"/>
          <w:szCs w:val="22"/>
          <w:lang w:val="en-US"/>
        </w:rPr>
        <w:t xml:space="preserve">Directive </w:t>
      </w:r>
      <w:r>
        <w:rPr>
          <w:rFonts w:asciiTheme="minorHAnsi" w:hAnsiTheme="minorHAnsi" w:cstheme="minorHAnsi"/>
          <w:b/>
          <w:bCs/>
          <w:sz w:val="22"/>
          <w:szCs w:val="22"/>
          <w:lang w:val="en-US"/>
        </w:rPr>
        <w:t xml:space="preserve">on </w:t>
      </w:r>
      <w:r w:rsidR="00602ED7" w:rsidRPr="00646944">
        <w:rPr>
          <w:rFonts w:asciiTheme="minorHAnsi" w:hAnsiTheme="minorHAnsi" w:cstheme="minorHAnsi"/>
          <w:b/>
          <w:bCs/>
          <w:sz w:val="22"/>
          <w:szCs w:val="22"/>
          <w:lang w:val="en-US"/>
        </w:rPr>
        <w:t xml:space="preserve">liability for defective products : </w:t>
      </w:r>
      <w:hyperlink r:id="rId8" w:history="1">
        <w:r w:rsidR="00602ED7" w:rsidRPr="00646944">
          <w:rPr>
            <w:rStyle w:val="Lienhypertexte"/>
            <w:rFonts w:asciiTheme="minorHAnsi" w:hAnsiTheme="minorHAnsi" w:cstheme="minorHAnsi"/>
            <w:sz w:val="22"/>
            <w:szCs w:val="22"/>
            <w:lang w:val="en-US"/>
          </w:rPr>
          <w:t>COM_COM(2022)0495_EN.pdf (europa.eu)</w:t>
        </w:r>
      </w:hyperlink>
    </w:p>
    <w:p w14:paraId="04223F96" w14:textId="77777777" w:rsidR="00586029" w:rsidRPr="00646944" w:rsidRDefault="00586029" w:rsidP="00CC5A76">
      <w:pPr>
        <w:pStyle w:val="Standard"/>
        <w:rPr>
          <w:rFonts w:asciiTheme="minorHAnsi" w:hAnsiTheme="minorHAnsi" w:cstheme="minorHAnsi"/>
          <w:b/>
          <w:bCs/>
          <w:sz w:val="22"/>
          <w:szCs w:val="22"/>
          <w:lang w:val="en-US"/>
        </w:rPr>
      </w:pPr>
    </w:p>
    <w:p w14:paraId="30EE062E" w14:textId="19DDD40F" w:rsidR="00602ED7" w:rsidRPr="00CC5A76" w:rsidRDefault="00CC5A76" w:rsidP="00586029">
      <w:pPr>
        <w:pStyle w:val="Standard"/>
        <w:jc w:val="center"/>
        <w:rPr>
          <w:rFonts w:asciiTheme="minorHAnsi" w:hAnsiTheme="minorHAnsi" w:cstheme="minorHAnsi"/>
          <w:b/>
          <w:bCs/>
          <w:sz w:val="22"/>
          <w:szCs w:val="22"/>
          <w:lang w:val="en-US"/>
        </w:rPr>
      </w:pPr>
      <w:r w:rsidRPr="00CC5A76">
        <w:rPr>
          <w:rFonts w:asciiTheme="minorHAnsi" w:hAnsiTheme="minorHAnsi" w:cstheme="minorHAnsi"/>
          <w:b/>
          <w:bCs/>
          <w:sz w:val="22"/>
          <w:szCs w:val="22"/>
          <w:lang w:val="en-US"/>
        </w:rPr>
        <w:t>Amendment</w:t>
      </w:r>
      <w:r w:rsidR="00F41CED">
        <w:rPr>
          <w:rFonts w:asciiTheme="minorHAnsi" w:hAnsiTheme="minorHAnsi" w:cstheme="minorHAnsi"/>
          <w:b/>
          <w:bCs/>
          <w:sz w:val="22"/>
          <w:szCs w:val="22"/>
          <w:lang w:val="en-US"/>
        </w:rPr>
        <w:t>s</w:t>
      </w:r>
      <w:r w:rsidRPr="00CC5A76">
        <w:rPr>
          <w:rFonts w:asciiTheme="minorHAnsi" w:hAnsiTheme="minorHAnsi" w:cstheme="minorHAnsi"/>
          <w:b/>
          <w:bCs/>
          <w:sz w:val="22"/>
          <w:szCs w:val="22"/>
          <w:lang w:val="en-US"/>
        </w:rPr>
        <w:t xml:space="preserve"> proposals by </w:t>
      </w:r>
      <w:hyperlink r:id="rId9" w:history="1">
        <w:r w:rsidRPr="00862900">
          <w:rPr>
            <w:rStyle w:val="Lienhypertexte"/>
            <w:rFonts w:asciiTheme="minorHAnsi" w:hAnsiTheme="minorHAnsi" w:cstheme="minorHAnsi"/>
            <w:b/>
            <w:bCs/>
            <w:sz w:val="22"/>
            <w:szCs w:val="22"/>
            <w:lang w:val="en-US"/>
          </w:rPr>
          <w:t xml:space="preserve">France </w:t>
        </w:r>
        <w:proofErr w:type="spellStart"/>
        <w:r w:rsidRPr="00862900">
          <w:rPr>
            <w:rStyle w:val="Lienhypertexte"/>
            <w:rFonts w:asciiTheme="minorHAnsi" w:hAnsiTheme="minorHAnsi" w:cstheme="minorHAnsi"/>
            <w:b/>
            <w:bCs/>
            <w:sz w:val="22"/>
            <w:szCs w:val="22"/>
            <w:lang w:val="en-US"/>
          </w:rPr>
          <w:t>Assos</w:t>
        </w:r>
        <w:proofErr w:type="spellEnd"/>
        <w:r w:rsidRPr="00862900">
          <w:rPr>
            <w:rStyle w:val="Lienhypertexte"/>
            <w:rFonts w:asciiTheme="minorHAnsi" w:hAnsiTheme="minorHAnsi" w:cstheme="minorHAnsi"/>
            <w:b/>
            <w:bCs/>
            <w:sz w:val="22"/>
            <w:szCs w:val="22"/>
            <w:lang w:val="en-US"/>
          </w:rPr>
          <w:t xml:space="preserve"> </w:t>
        </w:r>
        <w:proofErr w:type="spellStart"/>
        <w:r w:rsidRPr="00862900">
          <w:rPr>
            <w:rStyle w:val="Lienhypertexte"/>
            <w:rFonts w:asciiTheme="minorHAnsi" w:hAnsiTheme="minorHAnsi" w:cstheme="minorHAnsi"/>
            <w:b/>
            <w:bCs/>
            <w:sz w:val="22"/>
            <w:szCs w:val="22"/>
            <w:lang w:val="en-US"/>
          </w:rPr>
          <w:t>Santé</w:t>
        </w:r>
        <w:proofErr w:type="spellEnd"/>
      </w:hyperlink>
      <w:r>
        <w:rPr>
          <w:rFonts w:asciiTheme="minorHAnsi" w:hAnsiTheme="minorHAnsi" w:cstheme="minorHAnsi"/>
          <w:b/>
          <w:bCs/>
          <w:sz w:val="22"/>
          <w:szCs w:val="22"/>
          <w:lang w:val="en-US"/>
        </w:rPr>
        <w:t xml:space="preserve"> and </w:t>
      </w:r>
      <w:hyperlink r:id="rId10" w:history="1">
        <w:proofErr w:type="spellStart"/>
        <w:r w:rsidRPr="00862900">
          <w:rPr>
            <w:rStyle w:val="Lienhypertexte"/>
            <w:rFonts w:asciiTheme="minorHAnsi" w:hAnsiTheme="minorHAnsi" w:cstheme="minorHAnsi"/>
            <w:b/>
            <w:bCs/>
            <w:sz w:val="22"/>
            <w:szCs w:val="22"/>
            <w:lang w:val="en-US"/>
          </w:rPr>
          <w:t>Prescrire</w:t>
        </w:r>
        <w:proofErr w:type="spellEnd"/>
      </w:hyperlink>
    </w:p>
    <w:p w14:paraId="366FDE64" w14:textId="56603D4E" w:rsidR="00602ED7" w:rsidRPr="00CC5A76" w:rsidRDefault="008B65C6" w:rsidP="00586029">
      <w:pPr>
        <w:pStyle w:val="Standard"/>
        <w:jc w:val="center"/>
        <w:rPr>
          <w:rFonts w:asciiTheme="minorHAnsi" w:hAnsiTheme="minorHAnsi" w:cstheme="minorHAnsi"/>
          <w:i/>
          <w:iCs/>
          <w:sz w:val="22"/>
          <w:szCs w:val="22"/>
          <w:lang w:val="en-US"/>
        </w:rPr>
      </w:pPr>
      <w:r w:rsidRPr="00CC5A76">
        <w:rPr>
          <w:rFonts w:asciiTheme="minorHAnsi" w:hAnsiTheme="minorHAnsi" w:cstheme="minorHAnsi"/>
          <w:i/>
          <w:iCs/>
          <w:sz w:val="22"/>
          <w:szCs w:val="22"/>
          <w:lang w:val="en-US"/>
        </w:rPr>
        <w:t>10</w:t>
      </w:r>
      <w:r w:rsidR="00602ED7" w:rsidRPr="00CC5A76">
        <w:rPr>
          <w:rFonts w:asciiTheme="minorHAnsi" w:hAnsiTheme="minorHAnsi" w:cstheme="minorHAnsi"/>
          <w:i/>
          <w:iCs/>
          <w:sz w:val="22"/>
          <w:szCs w:val="22"/>
          <w:lang w:val="en-US"/>
        </w:rPr>
        <w:t xml:space="preserve"> </w:t>
      </w:r>
      <w:r w:rsidR="00CC5A76" w:rsidRPr="00CC5A76">
        <w:rPr>
          <w:rFonts w:asciiTheme="minorHAnsi" w:hAnsiTheme="minorHAnsi" w:cstheme="minorHAnsi"/>
          <w:i/>
          <w:iCs/>
          <w:sz w:val="22"/>
          <w:szCs w:val="22"/>
          <w:lang w:val="en-US"/>
        </w:rPr>
        <w:t>March</w:t>
      </w:r>
      <w:r w:rsidR="00602ED7" w:rsidRPr="00CC5A76">
        <w:rPr>
          <w:rFonts w:asciiTheme="minorHAnsi" w:hAnsiTheme="minorHAnsi" w:cstheme="minorHAnsi"/>
          <w:i/>
          <w:iCs/>
          <w:sz w:val="22"/>
          <w:szCs w:val="22"/>
          <w:lang w:val="en-US"/>
        </w:rPr>
        <w:t xml:space="preserve"> 2022</w:t>
      </w:r>
    </w:p>
    <w:p w14:paraId="7CB36755" w14:textId="77777777" w:rsidR="00602ED7" w:rsidRDefault="00602ED7" w:rsidP="00586029">
      <w:pPr>
        <w:pStyle w:val="Standard"/>
        <w:jc w:val="center"/>
        <w:rPr>
          <w:rFonts w:asciiTheme="minorHAnsi" w:hAnsiTheme="minorHAnsi" w:cstheme="minorHAnsi"/>
          <w:b/>
          <w:bCs/>
          <w:sz w:val="22"/>
          <w:szCs w:val="22"/>
          <w:lang w:val="en-US"/>
        </w:rPr>
      </w:pPr>
    </w:p>
    <w:p w14:paraId="1FEB942F" w14:textId="3A2B6011" w:rsidR="00CC5A76" w:rsidRDefault="00CC5A76" w:rsidP="00586029">
      <w:pPr>
        <w:pStyle w:val="Standard"/>
        <w:jc w:val="center"/>
        <w:rPr>
          <w:rFonts w:asciiTheme="minorHAnsi" w:hAnsiTheme="minorHAnsi" w:cstheme="minorHAnsi"/>
          <w:b/>
          <w:bCs/>
          <w:sz w:val="22"/>
          <w:szCs w:val="22"/>
          <w:lang w:val="en-US"/>
        </w:rPr>
      </w:pPr>
      <w:r w:rsidRPr="00CC5A76">
        <w:rPr>
          <w:rFonts w:asciiTheme="minorHAnsi" w:hAnsiTheme="minorHAnsi" w:cstheme="minorHAnsi"/>
          <w:b/>
          <w:bCs/>
          <w:sz w:val="22"/>
          <w:szCs w:val="22"/>
          <w:lang w:val="en-US"/>
        </w:rPr>
        <w:t xml:space="preserve">The proposed revised directive does not guarantee the access of victims of adverse </w:t>
      </w:r>
      <w:r w:rsidR="00F41CED">
        <w:rPr>
          <w:rFonts w:asciiTheme="minorHAnsi" w:hAnsiTheme="minorHAnsi" w:cstheme="minorHAnsi"/>
          <w:b/>
          <w:bCs/>
          <w:sz w:val="22"/>
          <w:szCs w:val="22"/>
          <w:lang w:val="en-US"/>
        </w:rPr>
        <w:t xml:space="preserve">drug </w:t>
      </w:r>
      <w:r>
        <w:rPr>
          <w:rFonts w:asciiTheme="minorHAnsi" w:hAnsiTheme="minorHAnsi" w:cstheme="minorHAnsi"/>
          <w:b/>
          <w:bCs/>
          <w:sz w:val="22"/>
          <w:szCs w:val="22"/>
          <w:lang w:val="en-US"/>
        </w:rPr>
        <w:t>reaction</w:t>
      </w:r>
      <w:r w:rsidR="00F41CED">
        <w:rPr>
          <w:rFonts w:asciiTheme="minorHAnsi" w:hAnsiTheme="minorHAnsi" w:cstheme="minorHAnsi"/>
          <w:b/>
          <w:bCs/>
          <w:sz w:val="22"/>
          <w:szCs w:val="22"/>
          <w:lang w:val="en-US"/>
        </w:rPr>
        <w:t>s</w:t>
      </w:r>
      <w:r w:rsidRPr="00CC5A76">
        <w:rPr>
          <w:rFonts w:asciiTheme="minorHAnsi" w:hAnsiTheme="minorHAnsi" w:cstheme="minorHAnsi"/>
          <w:b/>
          <w:bCs/>
          <w:sz w:val="22"/>
          <w:szCs w:val="22"/>
          <w:lang w:val="en-US"/>
        </w:rPr>
        <w:t xml:space="preserve"> to compensation</w:t>
      </w:r>
    </w:p>
    <w:p w14:paraId="3E2E0943" w14:textId="77777777" w:rsidR="00CC5A76" w:rsidRPr="00CC5A76" w:rsidRDefault="00CC5A76" w:rsidP="00586029">
      <w:pPr>
        <w:pStyle w:val="Standard"/>
        <w:jc w:val="center"/>
        <w:rPr>
          <w:rFonts w:asciiTheme="minorHAnsi" w:hAnsiTheme="minorHAnsi" w:cstheme="minorHAnsi"/>
          <w:b/>
          <w:bCs/>
          <w:sz w:val="22"/>
          <w:szCs w:val="22"/>
          <w:lang w:val="en-US"/>
        </w:rPr>
      </w:pPr>
    </w:p>
    <w:p w14:paraId="139D30E6" w14:textId="7F2605D0" w:rsidR="00862900" w:rsidRPr="00862900" w:rsidRDefault="00862900" w:rsidP="00862900">
      <w:pPr>
        <w:pStyle w:val="Standard"/>
        <w:shd w:val="clear" w:color="auto" w:fill="FFFFFF"/>
        <w:jc w:val="both"/>
        <w:rPr>
          <w:rFonts w:asciiTheme="minorHAnsi" w:eastAsiaTheme="minorHAnsi" w:hAnsiTheme="minorHAnsi" w:cstheme="minorHAnsi"/>
          <w:kern w:val="0"/>
          <w:sz w:val="22"/>
          <w:szCs w:val="22"/>
          <w:lang w:val="en-US" w:eastAsia="en-US" w:bidi="ar-SA"/>
        </w:rPr>
      </w:pPr>
      <w:r w:rsidRPr="00862900">
        <w:rPr>
          <w:rFonts w:asciiTheme="minorHAnsi" w:eastAsiaTheme="minorHAnsi" w:hAnsiTheme="minorHAnsi" w:cstheme="minorHAnsi"/>
          <w:kern w:val="0"/>
          <w:sz w:val="22"/>
          <w:szCs w:val="22"/>
          <w:lang w:val="en-US" w:eastAsia="en-US" w:bidi="ar-SA"/>
        </w:rPr>
        <w:t xml:space="preserve">For many years, France </w:t>
      </w:r>
      <w:proofErr w:type="spellStart"/>
      <w:r w:rsidRPr="00862900">
        <w:rPr>
          <w:rFonts w:asciiTheme="minorHAnsi" w:eastAsiaTheme="minorHAnsi" w:hAnsiTheme="minorHAnsi" w:cstheme="minorHAnsi"/>
          <w:kern w:val="0"/>
          <w:sz w:val="22"/>
          <w:szCs w:val="22"/>
          <w:lang w:val="en-US" w:eastAsia="en-US" w:bidi="ar-SA"/>
        </w:rPr>
        <w:t>Assos</w:t>
      </w:r>
      <w:proofErr w:type="spellEnd"/>
      <w:r w:rsidRPr="00862900">
        <w:rPr>
          <w:rFonts w:asciiTheme="minorHAnsi" w:eastAsiaTheme="minorHAnsi" w:hAnsiTheme="minorHAnsi" w:cstheme="minorHAnsi"/>
          <w:kern w:val="0"/>
          <w:sz w:val="22"/>
          <w:szCs w:val="22"/>
          <w:lang w:val="en-US" w:eastAsia="en-US" w:bidi="ar-SA"/>
        </w:rPr>
        <w:t xml:space="preserve"> </w:t>
      </w:r>
      <w:proofErr w:type="spellStart"/>
      <w:r w:rsidRPr="00862900">
        <w:rPr>
          <w:rFonts w:asciiTheme="minorHAnsi" w:eastAsiaTheme="minorHAnsi" w:hAnsiTheme="minorHAnsi" w:cstheme="minorHAnsi"/>
          <w:kern w:val="0"/>
          <w:sz w:val="22"/>
          <w:szCs w:val="22"/>
          <w:lang w:val="en-US" w:eastAsia="en-US" w:bidi="ar-SA"/>
        </w:rPr>
        <w:t>Santé</w:t>
      </w:r>
      <w:proofErr w:type="spellEnd"/>
      <w:r w:rsidR="00646944">
        <w:rPr>
          <w:rFonts w:asciiTheme="minorHAnsi" w:eastAsiaTheme="minorHAnsi" w:hAnsiTheme="minorHAnsi" w:cstheme="minorHAnsi"/>
          <w:kern w:val="0"/>
          <w:sz w:val="22"/>
          <w:szCs w:val="22"/>
          <w:lang w:val="en-US" w:eastAsia="en-US" w:bidi="ar-SA"/>
        </w:rPr>
        <w:t>,</w:t>
      </w:r>
      <w:r w:rsidRPr="00862900">
        <w:rPr>
          <w:rFonts w:asciiTheme="minorHAnsi" w:eastAsiaTheme="minorHAnsi" w:hAnsiTheme="minorHAnsi" w:cstheme="minorHAnsi"/>
          <w:kern w:val="0"/>
          <w:sz w:val="22"/>
          <w:szCs w:val="22"/>
          <w:lang w:val="en-US" w:eastAsia="en-US" w:bidi="ar-SA"/>
        </w:rPr>
        <w:t xml:space="preserve"> </w:t>
      </w:r>
      <w:r w:rsidR="00646944">
        <w:rPr>
          <w:rFonts w:asciiTheme="minorHAnsi" w:eastAsiaTheme="minorHAnsi" w:hAnsiTheme="minorHAnsi" w:cstheme="minorHAnsi"/>
          <w:kern w:val="0"/>
          <w:sz w:val="22"/>
          <w:szCs w:val="22"/>
          <w:lang w:val="en-US" w:eastAsia="en-US" w:bidi="ar-SA"/>
        </w:rPr>
        <w:t>its member</w:t>
      </w:r>
      <w:r w:rsidRPr="00862900">
        <w:rPr>
          <w:rFonts w:asciiTheme="minorHAnsi" w:eastAsiaTheme="minorHAnsi" w:hAnsiTheme="minorHAnsi" w:cstheme="minorHAnsi"/>
          <w:kern w:val="0"/>
          <w:sz w:val="22"/>
          <w:szCs w:val="22"/>
          <w:lang w:val="en-US" w:eastAsia="en-US" w:bidi="ar-SA"/>
        </w:rPr>
        <w:t xml:space="preserve"> associations (nearly a hundred) and </w:t>
      </w:r>
      <w:proofErr w:type="spellStart"/>
      <w:r w:rsidRPr="00862900">
        <w:rPr>
          <w:rFonts w:asciiTheme="minorHAnsi" w:eastAsiaTheme="minorHAnsi" w:hAnsiTheme="minorHAnsi" w:cstheme="minorHAnsi"/>
          <w:kern w:val="0"/>
          <w:sz w:val="22"/>
          <w:szCs w:val="22"/>
          <w:lang w:val="en-US" w:eastAsia="en-US" w:bidi="ar-SA"/>
        </w:rPr>
        <w:t>Prescrire</w:t>
      </w:r>
      <w:proofErr w:type="spellEnd"/>
      <w:r w:rsidRPr="00862900">
        <w:rPr>
          <w:rFonts w:asciiTheme="minorHAnsi" w:eastAsiaTheme="minorHAnsi" w:hAnsiTheme="minorHAnsi" w:cstheme="minorHAnsi"/>
          <w:kern w:val="0"/>
          <w:sz w:val="22"/>
          <w:szCs w:val="22"/>
          <w:lang w:val="en-US" w:eastAsia="en-US" w:bidi="ar-SA"/>
        </w:rPr>
        <w:t xml:space="preserve"> have drawn attention to the fact that medicines are not products like any other. We have also </w:t>
      </w:r>
      <w:r w:rsidR="00646944">
        <w:rPr>
          <w:rFonts w:asciiTheme="minorHAnsi" w:eastAsiaTheme="minorHAnsi" w:hAnsiTheme="minorHAnsi" w:cstheme="minorHAnsi"/>
          <w:kern w:val="0"/>
          <w:sz w:val="22"/>
          <w:szCs w:val="22"/>
          <w:lang w:val="en-US" w:eastAsia="en-US" w:bidi="ar-SA"/>
        </w:rPr>
        <w:t>advocated</w:t>
      </w:r>
      <w:r w:rsidRPr="00862900">
        <w:rPr>
          <w:rFonts w:asciiTheme="minorHAnsi" w:eastAsiaTheme="minorHAnsi" w:hAnsiTheme="minorHAnsi" w:cstheme="minorHAnsi"/>
          <w:kern w:val="0"/>
          <w:sz w:val="22"/>
          <w:szCs w:val="22"/>
          <w:lang w:val="en-US" w:eastAsia="en-US" w:bidi="ar-SA"/>
        </w:rPr>
        <w:t xml:space="preserve"> for a new </w:t>
      </w:r>
      <w:r w:rsidR="00646944">
        <w:rPr>
          <w:rFonts w:asciiTheme="minorHAnsi" w:eastAsiaTheme="minorHAnsi" w:hAnsiTheme="minorHAnsi" w:cstheme="minorHAnsi"/>
          <w:kern w:val="0"/>
          <w:sz w:val="22"/>
          <w:szCs w:val="22"/>
          <w:lang w:val="en-US" w:eastAsia="en-US" w:bidi="ar-SA"/>
        </w:rPr>
        <w:t xml:space="preserve">EU legal framework specifically dedicated to </w:t>
      </w:r>
      <w:r w:rsidR="00646944" w:rsidRPr="00862900">
        <w:rPr>
          <w:rFonts w:asciiTheme="minorHAnsi" w:eastAsiaTheme="minorHAnsi" w:hAnsiTheme="minorHAnsi" w:cstheme="minorHAnsi"/>
          <w:kern w:val="0"/>
          <w:sz w:val="22"/>
          <w:szCs w:val="22"/>
          <w:lang w:val="en-US" w:eastAsia="en-US" w:bidi="ar-SA"/>
        </w:rPr>
        <w:t>medicines and medical devices</w:t>
      </w:r>
      <w:r w:rsidRPr="00862900">
        <w:rPr>
          <w:rFonts w:asciiTheme="minorHAnsi" w:eastAsiaTheme="minorHAnsi" w:hAnsiTheme="minorHAnsi" w:cstheme="minorHAnsi"/>
          <w:kern w:val="0"/>
          <w:sz w:val="22"/>
          <w:szCs w:val="22"/>
          <w:lang w:val="en-US" w:eastAsia="en-US" w:bidi="ar-SA"/>
        </w:rPr>
        <w:t xml:space="preserve">, which </w:t>
      </w:r>
      <w:r w:rsidR="00646944">
        <w:rPr>
          <w:rFonts w:asciiTheme="minorHAnsi" w:eastAsiaTheme="minorHAnsi" w:hAnsiTheme="minorHAnsi" w:cstheme="minorHAnsi"/>
          <w:kern w:val="0"/>
          <w:sz w:val="22"/>
          <w:szCs w:val="22"/>
          <w:lang w:val="en-US" w:eastAsia="en-US" w:bidi="ar-SA"/>
        </w:rPr>
        <w:t xml:space="preserve">would </w:t>
      </w:r>
      <w:r w:rsidRPr="00862900">
        <w:rPr>
          <w:rFonts w:asciiTheme="minorHAnsi" w:eastAsiaTheme="minorHAnsi" w:hAnsiTheme="minorHAnsi" w:cstheme="minorHAnsi"/>
          <w:kern w:val="0"/>
          <w:sz w:val="22"/>
          <w:szCs w:val="22"/>
          <w:lang w:val="en-US" w:eastAsia="en-US" w:bidi="ar-SA"/>
        </w:rPr>
        <w:t xml:space="preserve">guarantee </w:t>
      </w:r>
      <w:r w:rsidR="00646944">
        <w:rPr>
          <w:rFonts w:asciiTheme="minorHAnsi" w:eastAsiaTheme="minorHAnsi" w:hAnsiTheme="minorHAnsi" w:cstheme="minorHAnsi"/>
          <w:kern w:val="0"/>
          <w:sz w:val="22"/>
          <w:szCs w:val="22"/>
          <w:lang w:val="en-US" w:eastAsia="en-US" w:bidi="ar-SA"/>
        </w:rPr>
        <w:t>an effective and adequate</w:t>
      </w:r>
      <w:r w:rsidRPr="00862900">
        <w:rPr>
          <w:rFonts w:asciiTheme="minorHAnsi" w:eastAsiaTheme="minorHAnsi" w:hAnsiTheme="minorHAnsi" w:cstheme="minorHAnsi"/>
          <w:kern w:val="0"/>
          <w:sz w:val="22"/>
          <w:szCs w:val="22"/>
          <w:lang w:val="en-US" w:eastAsia="en-US" w:bidi="ar-SA"/>
        </w:rPr>
        <w:t xml:space="preserve"> compensation of victims. Currently, the application of the </w:t>
      </w:r>
      <w:r w:rsidR="0031109E">
        <w:rPr>
          <w:rFonts w:asciiTheme="minorHAnsi" w:eastAsiaTheme="minorHAnsi" w:hAnsiTheme="minorHAnsi" w:cstheme="minorHAnsi"/>
          <w:kern w:val="0"/>
          <w:sz w:val="22"/>
          <w:szCs w:val="22"/>
          <w:lang w:val="en-US" w:eastAsia="en-US" w:bidi="ar-SA"/>
        </w:rPr>
        <w:t>Product Liability</w:t>
      </w:r>
      <w:r w:rsidRPr="00862900">
        <w:rPr>
          <w:rFonts w:asciiTheme="minorHAnsi" w:eastAsiaTheme="minorHAnsi" w:hAnsiTheme="minorHAnsi" w:cstheme="minorHAnsi"/>
          <w:kern w:val="0"/>
          <w:sz w:val="22"/>
          <w:szCs w:val="22"/>
          <w:lang w:val="en-US" w:eastAsia="en-US" w:bidi="ar-SA"/>
        </w:rPr>
        <w:t xml:space="preserve"> </w:t>
      </w:r>
      <w:r w:rsidR="0031109E">
        <w:rPr>
          <w:rFonts w:asciiTheme="minorHAnsi" w:eastAsiaTheme="minorHAnsi" w:hAnsiTheme="minorHAnsi" w:cstheme="minorHAnsi"/>
          <w:kern w:val="0"/>
          <w:sz w:val="22"/>
          <w:szCs w:val="22"/>
          <w:lang w:val="en-US" w:eastAsia="en-US" w:bidi="ar-SA"/>
        </w:rPr>
        <w:t>D</w:t>
      </w:r>
      <w:r w:rsidRPr="00862900">
        <w:rPr>
          <w:rFonts w:asciiTheme="minorHAnsi" w:eastAsiaTheme="minorHAnsi" w:hAnsiTheme="minorHAnsi" w:cstheme="minorHAnsi"/>
          <w:kern w:val="0"/>
          <w:sz w:val="22"/>
          <w:szCs w:val="22"/>
          <w:lang w:val="en-US" w:eastAsia="en-US" w:bidi="ar-SA"/>
        </w:rPr>
        <w:t>irective strongly hinders the possibilities of compensation for victims</w:t>
      </w:r>
      <w:r w:rsidR="0031109E">
        <w:rPr>
          <w:rFonts w:asciiTheme="minorHAnsi" w:eastAsiaTheme="minorHAnsi" w:hAnsiTheme="minorHAnsi" w:cstheme="minorHAnsi"/>
          <w:kern w:val="0"/>
          <w:sz w:val="22"/>
          <w:szCs w:val="22"/>
          <w:lang w:val="en-US" w:eastAsia="en-US" w:bidi="ar-SA"/>
        </w:rPr>
        <w:t xml:space="preserve"> of health products</w:t>
      </w:r>
      <w:r w:rsidRPr="00862900">
        <w:rPr>
          <w:rFonts w:asciiTheme="minorHAnsi" w:eastAsiaTheme="minorHAnsi" w:hAnsiTheme="minorHAnsi" w:cstheme="minorHAnsi"/>
          <w:kern w:val="0"/>
          <w:sz w:val="22"/>
          <w:szCs w:val="22"/>
          <w:lang w:val="en-US" w:eastAsia="en-US" w:bidi="ar-SA"/>
        </w:rPr>
        <w:t>.</w:t>
      </w:r>
    </w:p>
    <w:p w14:paraId="0A6A6718" w14:textId="77777777" w:rsidR="00862900" w:rsidRPr="00862900" w:rsidRDefault="00862900" w:rsidP="00862900">
      <w:pPr>
        <w:pStyle w:val="Standard"/>
        <w:shd w:val="clear" w:color="auto" w:fill="FFFFFF"/>
        <w:jc w:val="both"/>
        <w:rPr>
          <w:rFonts w:asciiTheme="minorHAnsi" w:eastAsiaTheme="minorHAnsi" w:hAnsiTheme="minorHAnsi" w:cstheme="minorHAnsi"/>
          <w:kern w:val="0"/>
          <w:sz w:val="22"/>
          <w:szCs w:val="22"/>
          <w:lang w:val="en-US" w:eastAsia="en-US" w:bidi="ar-SA"/>
        </w:rPr>
      </w:pPr>
    </w:p>
    <w:p w14:paraId="4FE89490" w14:textId="19F7DEFA" w:rsidR="00586029" w:rsidRDefault="00862900" w:rsidP="00862900">
      <w:pPr>
        <w:pStyle w:val="Standard"/>
        <w:shd w:val="clear" w:color="auto" w:fill="FFFFFF"/>
        <w:jc w:val="both"/>
        <w:rPr>
          <w:rFonts w:asciiTheme="minorHAnsi" w:eastAsiaTheme="minorHAnsi" w:hAnsiTheme="minorHAnsi" w:cstheme="minorHAnsi"/>
          <w:kern w:val="0"/>
          <w:sz w:val="22"/>
          <w:szCs w:val="22"/>
          <w:lang w:val="en-US" w:eastAsia="en-US" w:bidi="ar-SA"/>
        </w:rPr>
      </w:pPr>
      <w:r w:rsidRPr="00862900">
        <w:rPr>
          <w:rFonts w:asciiTheme="minorHAnsi" w:eastAsiaTheme="minorHAnsi" w:hAnsiTheme="minorHAnsi" w:cstheme="minorHAnsi"/>
          <w:kern w:val="0"/>
          <w:sz w:val="22"/>
          <w:szCs w:val="22"/>
          <w:lang w:val="en-US" w:eastAsia="en-US" w:bidi="ar-SA"/>
        </w:rPr>
        <w:t xml:space="preserve">Although the Commission's proposal contains some timid </w:t>
      </w:r>
      <w:r w:rsidR="0031109E" w:rsidRPr="00862900">
        <w:rPr>
          <w:rFonts w:asciiTheme="minorHAnsi" w:eastAsiaTheme="minorHAnsi" w:hAnsiTheme="minorHAnsi" w:cstheme="minorHAnsi"/>
          <w:kern w:val="0"/>
          <w:sz w:val="22"/>
          <w:szCs w:val="22"/>
          <w:lang w:val="en-US" w:eastAsia="en-US" w:bidi="ar-SA"/>
        </w:rPr>
        <w:t>progresses</w:t>
      </w:r>
      <w:r w:rsidRPr="00862900">
        <w:rPr>
          <w:rFonts w:asciiTheme="minorHAnsi" w:eastAsiaTheme="minorHAnsi" w:hAnsiTheme="minorHAnsi" w:cstheme="minorHAnsi"/>
          <w:kern w:val="0"/>
          <w:sz w:val="22"/>
          <w:szCs w:val="22"/>
          <w:lang w:val="en-US" w:eastAsia="en-US" w:bidi="ar-SA"/>
        </w:rPr>
        <w:t xml:space="preserve">, it takes virtually no account of the contributions of </w:t>
      </w:r>
      <w:r w:rsidR="0031109E">
        <w:rPr>
          <w:rFonts w:asciiTheme="minorHAnsi" w:eastAsiaTheme="minorHAnsi" w:hAnsiTheme="minorHAnsi" w:cstheme="minorHAnsi"/>
          <w:kern w:val="0"/>
          <w:sz w:val="22"/>
          <w:szCs w:val="22"/>
          <w:lang w:val="en-US" w:eastAsia="en-US" w:bidi="ar-SA"/>
        </w:rPr>
        <w:t xml:space="preserve">the EC </w:t>
      </w:r>
      <w:r w:rsidRPr="00862900">
        <w:rPr>
          <w:rFonts w:asciiTheme="minorHAnsi" w:eastAsiaTheme="minorHAnsi" w:hAnsiTheme="minorHAnsi" w:cstheme="minorHAnsi"/>
          <w:kern w:val="0"/>
          <w:sz w:val="22"/>
          <w:szCs w:val="22"/>
          <w:lang w:val="en-US" w:eastAsia="en-US" w:bidi="ar-SA"/>
        </w:rPr>
        <w:t>expert</w:t>
      </w:r>
      <w:r w:rsidR="0031109E">
        <w:rPr>
          <w:rFonts w:asciiTheme="minorHAnsi" w:eastAsiaTheme="minorHAnsi" w:hAnsiTheme="minorHAnsi" w:cstheme="minorHAnsi"/>
          <w:kern w:val="0"/>
          <w:sz w:val="22"/>
          <w:szCs w:val="22"/>
          <w:lang w:val="en-US" w:eastAsia="en-US" w:bidi="ar-SA"/>
        </w:rPr>
        <w:t xml:space="preserve"> group</w:t>
      </w:r>
      <w:r w:rsidRPr="00862900">
        <w:rPr>
          <w:rFonts w:asciiTheme="minorHAnsi" w:eastAsiaTheme="minorHAnsi" w:hAnsiTheme="minorHAnsi" w:cstheme="minorHAnsi"/>
          <w:kern w:val="0"/>
          <w:sz w:val="22"/>
          <w:szCs w:val="22"/>
          <w:lang w:val="en-US" w:eastAsia="en-US" w:bidi="ar-SA"/>
        </w:rPr>
        <w:t xml:space="preserve"> on the specific problems of adverse drug reactions</w:t>
      </w:r>
      <w:r w:rsidR="0031109E">
        <w:rPr>
          <w:rFonts w:asciiTheme="minorHAnsi" w:eastAsiaTheme="minorHAnsi" w:hAnsiTheme="minorHAnsi" w:cstheme="minorHAnsi"/>
          <w:kern w:val="0"/>
          <w:sz w:val="22"/>
          <w:szCs w:val="22"/>
          <w:lang w:val="en-US" w:eastAsia="en-US" w:bidi="ar-SA"/>
        </w:rPr>
        <w:t xml:space="preserve">’ </w:t>
      </w:r>
      <w:r w:rsidR="0031109E" w:rsidRPr="00862900">
        <w:rPr>
          <w:rFonts w:asciiTheme="minorHAnsi" w:eastAsiaTheme="minorHAnsi" w:hAnsiTheme="minorHAnsi" w:cstheme="minorHAnsi"/>
          <w:kern w:val="0"/>
          <w:sz w:val="22"/>
          <w:szCs w:val="22"/>
          <w:lang w:val="en-US" w:eastAsia="en-US" w:bidi="ar-SA"/>
        </w:rPr>
        <w:t>victims</w:t>
      </w:r>
      <w:r w:rsidRPr="00862900">
        <w:rPr>
          <w:rFonts w:asciiTheme="minorHAnsi" w:eastAsiaTheme="minorHAnsi" w:hAnsiTheme="minorHAnsi" w:cstheme="minorHAnsi"/>
          <w:kern w:val="0"/>
          <w:sz w:val="22"/>
          <w:szCs w:val="22"/>
          <w:lang w:val="en-US" w:eastAsia="en-US" w:bidi="ar-SA"/>
        </w:rPr>
        <w:t xml:space="preserve"> and will, as it stands, have no impact on the access of these victims to compensation.</w:t>
      </w:r>
    </w:p>
    <w:p w14:paraId="2F81E946" w14:textId="77777777" w:rsidR="0031109E" w:rsidRPr="00862900" w:rsidRDefault="0031109E" w:rsidP="00862900">
      <w:pPr>
        <w:pStyle w:val="Standard"/>
        <w:shd w:val="clear" w:color="auto" w:fill="FFFFFF"/>
        <w:jc w:val="both"/>
        <w:rPr>
          <w:rFonts w:asciiTheme="minorHAnsi" w:eastAsia="Times New Roman" w:hAnsiTheme="minorHAnsi" w:cstheme="minorHAnsi"/>
          <w:color w:val="222222"/>
          <w:sz w:val="22"/>
          <w:szCs w:val="22"/>
          <w:lang w:val="en-US"/>
        </w:rPr>
      </w:pPr>
    </w:p>
    <w:p w14:paraId="06ABC0F4" w14:textId="2D1DCC89" w:rsidR="0031109E" w:rsidRPr="0031109E" w:rsidRDefault="0031109E" w:rsidP="00586029">
      <w:pPr>
        <w:pStyle w:val="Standard"/>
        <w:shd w:val="clear" w:color="auto" w:fill="FFFFFF"/>
        <w:jc w:val="both"/>
        <w:rPr>
          <w:rFonts w:asciiTheme="minorHAnsi" w:eastAsia="Times New Roman" w:hAnsiTheme="minorHAnsi" w:cstheme="minorHAnsi"/>
          <w:b/>
          <w:color w:val="222222"/>
          <w:sz w:val="22"/>
          <w:szCs w:val="22"/>
          <w:u w:val="single"/>
          <w:lang w:val="en-US"/>
        </w:rPr>
      </w:pPr>
      <w:r w:rsidRPr="0031109E">
        <w:rPr>
          <w:rFonts w:asciiTheme="minorHAnsi" w:eastAsia="Times New Roman" w:hAnsiTheme="minorHAnsi" w:cstheme="minorHAnsi"/>
          <w:b/>
          <w:color w:val="222222"/>
          <w:sz w:val="22"/>
          <w:szCs w:val="22"/>
          <w:u w:val="single"/>
          <w:lang w:val="en-US"/>
        </w:rPr>
        <w:t>Amendment proposals</w:t>
      </w:r>
    </w:p>
    <w:p w14:paraId="740D79B7" w14:textId="77777777" w:rsidR="009B1D22" w:rsidRPr="0031109E" w:rsidRDefault="009B1D22" w:rsidP="00586029">
      <w:pPr>
        <w:pStyle w:val="Standard"/>
        <w:shd w:val="clear" w:color="auto" w:fill="FFFFFF"/>
        <w:jc w:val="both"/>
        <w:rPr>
          <w:rFonts w:asciiTheme="minorHAnsi" w:eastAsia="Times New Roman" w:hAnsiTheme="minorHAnsi" w:cstheme="minorHAnsi"/>
          <w:color w:val="222222"/>
          <w:sz w:val="22"/>
          <w:szCs w:val="22"/>
          <w:lang w:val="en-US"/>
        </w:rPr>
      </w:pPr>
    </w:p>
    <w:p w14:paraId="49C9357B" w14:textId="72133569" w:rsidR="0031109E" w:rsidRPr="0031109E" w:rsidRDefault="0031109E" w:rsidP="0031109E">
      <w:pPr>
        <w:pStyle w:val="Standard"/>
        <w:shd w:val="clear" w:color="auto" w:fill="FFFFFF"/>
        <w:jc w:val="both"/>
        <w:rPr>
          <w:rFonts w:asciiTheme="minorHAnsi" w:eastAsia="Times New Roman" w:hAnsiTheme="minorHAnsi" w:cstheme="minorHAnsi"/>
          <w:color w:val="222222"/>
          <w:sz w:val="22"/>
          <w:szCs w:val="22"/>
          <w:lang w:val="en-US"/>
        </w:rPr>
      </w:pPr>
      <w:r>
        <w:rPr>
          <w:rFonts w:asciiTheme="minorHAnsi" w:eastAsia="Times New Roman" w:hAnsiTheme="minorHAnsi" w:cstheme="minorHAnsi"/>
          <w:color w:val="222222"/>
          <w:sz w:val="22"/>
          <w:szCs w:val="22"/>
          <w:lang w:val="en-US"/>
        </w:rPr>
        <w:t xml:space="preserve">France </w:t>
      </w:r>
      <w:proofErr w:type="spellStart"/>
      <w:r>
        <w:rPr>
          <w:rFonts w:asciiTheme="minorHAnsi" w:eastAsia="Times New Roman" w:hAnsiTheme="minorHAnsi" w:cstheme="minorHAnsi"/>
          <w:color w:val="222222"/>
          <w:sz w:val="22"/>
          <w:szCs w:val="22"/>
          <w:lang w:val="en-US"/>
        </w:rPr>
        <w:t>Assos</w:t>
      </w:r>
      <w:proofErr w:type="spellEnd"/>
      <w:r>
        <w:rPr>
          <w:rFonts w:asciiTheme="minorHAnsi" w:eastAsia="Times New Roman" w:hAnsiTheme="minorHAnsi" w:cstheme="minorHAnsi"/>
          <w:color w:val="222222"/>
          <w:sz w:val="22"/>
          <w:szCs w:val="22"/>
          <w:lang w:val="en-US"/>
        </w:rPr>
        <w:t xml:space="preserve"> </w:t>
      </w:r>
      <w:proofErr w:type="spellStart"/>
      <w:r>
        <w:rPr>
          <w:rFonts w:asciiTheme="minorHAnsi" w:eastAsia="Times New Roman" w:hAnsiTheme="minorHAnsi" w:cstheme="minorHAnsi"/>
          <w:color w:val="222222"/>
          <w:sz w:val="22"/>
          <w:szCs w:val="22"/>
          <w:lang w:val="en-US"/>
        </w:rPr>
        <w:t>Santé</w:t>
      </w:r>
      <w:proofErr w:type="spellEnd"/>
      <w:r>
        <w:rPr>
          <w:rFonts w:asciiTheme="minorHAnsi" w:eastAsia="Times New Roman" w:hAnsiTheme="minorHAnsi" w:cstheme="minorHAnsi"/>
          <w:color w:val="222222"/>
          <w:sz w:val="22"/>
          <w:szCs w:val="22"/>
          <w:lang w:val="en-US"/>
        </w:rPr>
        <w:t xml:space="preserve"> and </w:t>
      </w:r>
      <w:proofErr w:type="spellStart"/>
      <w:r>
        <w:rPr>
          <w:rFonts w:asciiTheme="minorHAnsi" w:eastAsia="Times New Roman" w:hAnsiTheme="minorHAnsi" w:cstheme="minorHAnsi"/>
          <w:color w:val="222222"/>
          <w:sz w:val="22"/>
          <w:szCs w:val="22"/>
          <w:lang w:val="en-US"/>
        </w:rPr>
        <w:t>Prescrire</w:t>
      </w:r>
      <w:proofErr w:type="spellEnd"/>
      <w:r>
        <w:rPr>
          <w:rFonts w:asciiTheme="minorHAnsi" w:eastAsia="Times New Roman" w:hAnsiTheme="minorHAnsi" w:cstheme="minorHAnsi"/>
          <w:color w:val="222222"/>
          <w:sz w:val="22"/>
          <w:szCs w:val="22"/>
          <w:lang w:val="en-US"/>
        </w:rPr>
        <w:t xml:space="preserve"> advocate </w:t>
      </w:r>
      <w:r w:rsidRPr="0031109E">
        <w:rPr>
          <w:rFonts w:asciiTheme="minorHAnsi" w:eastAsia="Times New Roman" w:hAnsiTheme="minorHAnsi" w:cstheme="minorHAnsi"/>
          <w:color w:val="222222"/>
          <w:sz w:val="22"/>
          <w:szCs w:val="22"/>
          <w:lang w:val="en-US"/>
        </w:rPr>
        <w:t>for the introduction of the following amendments:</w:t>
      </w:r>
    </w:p>
    <w:p w14:paraId="47158254" w14:textId="77777777" w:rsidR="0031109E" w:rsidRPr="0031109E" w:rsidRDefault="0031109E" w:rsidP="0031109E">
      <w:pPr>
        <w:pStyle w:val="Standard"/>
        <w:shd w:val="clear" w:color="auto" w:fill="FFFFFF"/>
        <w:jc w:val="both"/>
        <w:rPr>
          <w:rFonts w:asciiTheme="minorHAnsi" w:eastAsia="Times New Roman" w:hAnsiTheme="minorHAnsi" w:cstheme="minorHAnsi"/>
          <w:color w:val="222222"/>
          <w:sz w:val="22"/>
          <w:szCs w:val="22"/>
          <w:lang w:val="en-US"/>
        </w:rPr>
      </w:pPr>
    </w:p>
    <w:p w14:paraId="1F35B7C5" w14:textId="77777777" w:rsidR="0031109E" w:rsidRPr="0031109E" w:rsidRDefault="0031109E" w:rsidP="0031109E">
      <w:pPr>
        <w:pStyle w:val="Standard"/>
        <w:shd w:val="clear" w:color="auto" w:fill="FFFFFF"/>
        <w:jc w:val="both"/>
        <w:rPr>
          <w:rFonts w:asciiTheme="minorHAnsi" w:eastAsia="Times New Roman" w:hAnsiTheme="minorHAnsi" w:cstheme="minorHAnsi"/>
          <w:b/>
          <w:bCs/>
          <w:color w:val="222222"/>
          <w:sz w:val="22"/>
          <w:szCs w:val="22"/>
          <w:lang w:val="en-US"/>
        </w:rPr>
      </w:pPr>
      <w:r w:rsidRPr="0031109E">
        <w:rPr>
          <w:rFonts w:asciiTheme="minorHAnsi" w:eastAsia="Times New Roman" w:hAnsiTheme="minorHAnsi" w:cstheme="minorHAnsi"/>
          <w:b/>
          <w:bCs/>
          <w:color w:val="222222"/>
          <w:sz w:val="22"/>
          <w:szCs w:val="22"/>
          <w:lang w:val="en-US"/>
        </w:rPr>
        <w:t>Allow Member States to adopt more protective measures for patients and consumers</w:t>
      </w:r>
    </w:p>
    <w:p w14:paraId="7EEADC37" w14:textId="77777777" w:rsidR="0031109E" w:rsidRDefault="0031109E" w:rsidP="0031109E">
      <w:pPr>
        <w:pStyle w:val="Standard"/>
        <w:shd w:val="clear" w:color="auto" w:fill="FFFFFF"/>
        <w:jc w:val="both"/>
        <w:rPr>
          <w:rFonts w:asciiTheme="minorHAnsi" w:eastAsia="Times New Roman" w:hAnsiTheme="minorHAnsi" w:cstheme="minorHAnsi"/>
          <w:color w:val="222222"/>
          <w:sz w:val="22"/>
          <w:szCs w:val="22"/>
          <w:lang w:val="en-US"/>
        </w:rPr>
      </w:pPr>
    </w:p>
    <w:p w14:paraId="0F5E8D76" w14:textId="25B832BA" w:rsidR="009B1D22" w:rsidRPr="0031109E" w:rsidRDefault="0031109E" w:rsidP="0031109E">
      <w:pPr>
        <w:pStyle w:val="Standard"/>
        <w:shd w:val="clear" w:color="auto" w:fill="FFFFFF"/>
        <w:jc w:val="both"/>
        <w:rPr>
          <w:rFonts w:asciiTheme="minorHAnsi" w:eastAsia="Times New Roman" w:hAnsiTheme="minorHAnsi" w:cstheme="minorHAnsi"/>
          <w:color w:val="222222"/>
          <w:sz w:val="22"/>
          <w:szCs w:val="22"/>
          <w:lang w:val="en-US"/>
        </w:rPr>
      </w:pPr>
      <w:r w:rsidRPr="0031109E">
        <w:rPr>
          <w:rFonts w:asciiTheme="minorHAnsi" w:eastAsia="Times New Roman" w:hAnsiTheme="minorHAnsi" w:cstheme="minorHAnsi"/>
          <w:color w:val="222222"/>
          <w:sz w:val="22"/>
          <w:szCs w:val="22"/>
          <w:lang w:val="en-US"/>
        </w:rPr>
        <w:t xml:space="preserve">The Commission has chosen to keep pharmaceutical products within the scope of the directive, while presenting a proposal which continues to largely </w:t>
      </w:r>
      <w:r>
        <w:rPr>
          <w:rFonts w:asciiTheme="minorHAnsi" w:eastAsia="Times New Roman" w:hAnsiTheme="minorHAnsi" w:cstheme="minorHAnsi"/>
          <w:color w:val="222222"/>
          <w:sz w:val="22"/>
          <w:szCs w:val="22"/>
          <w:lang w:val="en-US"/>
        </w:rPr>
        <w:t>promote</w:t>
      </w:r>
      <w:r w:rsidRPr="0031109E">
        <w:rPr>
          <w:rFonts w:asciiTheme="minorHAnsi" w:eastAsia="Times New Roman" w:hAnsiTheme="minorHAnsi" w:cstheme="minorHAnsi"/>
          <w:color w:val="222222"/>
          <w:sz w:val="22"/>
          <w:szCs w:val="22"/>
          <w:lang w:val="en-US"/>
        </w:rPr>
        <w:t xml:space="preserve"> the interests of producers. It is necessary, in this context, to delete or modify Article 3, which prohibits Member States from adopting national measures that are more protective of patients and consumers. This possibility is provided for in the Directive only for Member States which already have a specific liability regime for pharmaceutical products.</w:t>
      </w:r>
    </w:p>
    <w:p w14:paraId="5AADBBAC" w14:textId="77777777" w:rsidR="0031109E" w:rsidRPr="0031109E" w:rsidRDefault="0031109E" w:rsidP="0031109E">
      <w:pPr>
        <w:pStyle w:val="Standard"/>
        <w:shd w:val="clear" w:color="auto" w:fill="FFFFFF"/>
        <w:jc w:val="both"/>
        <w:rPr>
          <w:rFonts w:asciiTheme="minorHAnsi" w:eastAsia="Times New Roman" w:hAnsiTheme="minorHAnsi" w:cstheme="minorHAnsi"/>
          <w:color w:val="222222"/>
          <w:sz w:val="22"/>
          <w:szCs w:val="22"/>
          <w:lang w:val="en-US"/>
        </w:rPr>
      </w:pPr>
    </w:p>
    <w:tbl>
      <w:tblPr>
        <w:tblStyle w:val="Grilledutableau"/>
        <w:tblW w:w="0" w:type="auto"/>
        <w:tblLook w:val="04A0" w:firstRow="1" w:lastRow="0" w:firstColumn="1" w:lastColumn="0" w:noHBand="0" w:noVBand="1"/>
      </w:tblPr>
      <w:tblGrid>
        <w:gridCol w:w="4531"/>
        <w:gridCol w:w="4531"/>
      </w:tblGrid>
      <w:tr w:rsidR="009C7729" w:rsidRPr="008B65C6" w14:paraId="1FF3B851" w14:textId="77777777" w:rsidTr="009C7729">
        <w:tc>
          <w:tcPr>
            <w:tcW w:w="4531" w:type="dxa"/>
          </w:tcPr>
          <w:p w14:paraId="39659D71" w14:textId="77777777" w:rsidR="009C7729" w:rsidRPr="0031109E" w:rsidRDefault="009C7729" w:rsidP="00586029">
            <w:pPr>
              <w:pStyle w:val="Standard"/>
              <w:jc w:val="both"/>
              <w:rPr>
                <w:rFonts w:asciiTheme="minorHAnsi" w:hAnsiTheme="minorHAnsi" w:cstheme="minorHAnsi"/>
                <w:b/>
                <w:bCs/>
                <w:sz w:val="22"/>
                <w:szCs w:val="22"/>
                <w:lang w:val="en-US"/>
              </w:rPr>
            </w:pPr>
            <w:r w:rsidRPr="0031109E">
              <w:rPr>
                <w:rFonts w:asciiTheme="minorHAnsi" w:hAnsiTheme="minorHAnsi" w:cstheme="minorHAnsi"/>
                <w:b/>
                <w:bCs/>
                <w:sz w:val="22"/>
                <w:szCs w:val="22"/>
                <w:lang w:val="en-US"/>
              </w:rPr>
              <w:t xml:space="preserve">Article 3 </w:t>
            </w:r>
          </w:p>
          <w:p w14:paraId="0A55CD06" w14:textId="77777777" w:rsidR="009C7729" w:rsidRPr="008B65C6" w:rsidRDefault="009C7729" w:rsidP="00586029">
            <w:pPr>
              <w:pStyle w:val="Standard"/>
              <w:jc w:val="both"/>
              <w:rPr>
                <w:rFonts w:asciiTheme="minorHAnsi" w:hAnsiTheme="minorHAnsi" w:cstheme="minorHAnsi"/>
                <w:sz w:val="22"/>
                <w:szCs w:val="22"/>
                <w:lang w:val="en-US"/>
              </w:rPr>
            </w:pPr>
            <w:r w:rsidRPr="008B65C6">
              <w:rPr>
                <w:rFonts w:asciiTheme="minorHAnsi" w:hAnsiTheme="minorHAnsi" w:cstheme="minorHAnsi"/>
                <w:sz w:val="22"/>
                <w:szCs w:val="22"/>
                <w:lang w:val="en-US"/>
              </w:rPr>
              <w:t xml:space="preserve">Level of </w:t>
            </w:r>
            <w:proofErr w:type="spellStart"/>
            <w:r w:rsidRPr="008B65C6">
              <w:rPr>
                <w:rFonts w:asciiTheme="minorHAnsi" w:hAnsiTheme="minorHAnsi" w:cstheme="minorHAnsi"/>
                <w:sz w:val="22"/>
                <w:szCs w:val="22"/>
                <w:lang w:val="en-US"/>
              </w:rPr>
              <w:t>harmonisation</w:t>
            </w:r>
            <w:proofErr w:type="spellEnd"/>
            <w:r w:rsidRPr="008B65C6">
              <w:rPr>
                <w:rFonts w:asciiTheme="minorHAnsi" w:hAnsiTheme="minorHAnsi" w:cstheme="minorHAnsi"/>
                <w:sz w:val="22"/>
                <w:szCs w:val="22"/>
                <w:lang w:val="en-US"/>
              </w:rPr>
              <w:t xml:space="preserve"> </w:t>
            </w:r>
          </w:p>
          <w:p w14:paraId="18A711E9" w14:textId="77777777" w:rsidR="009C7729" w:rsidRPr="008B65C6" w:rsidRDefault="009C7729" w:rsidP="00586029">
            <w:pPr>
              <w:pStyle w:val="Standard"/>
              <w:jc w:val="both"/>
              <w:rPr>
                <w:rFonts w:asciiTheme="minorHAnsi" w:eastAsia="Times New Roman" w:hAnsiTheme="minorHAnsi" w:cstheme="minorHAnsi"/>
                <w:color w:val="222222"/>
                <w:sz w:val="22"/>
                <w:szCs w:val="22"/>
                <w:lang w:val="en-US"/>
              </w:rPr>
            </w:pPr>
            <w:r w:rsidRPr="008B65C6">
              <w:rPr>
                <w:rFonts w:asciiTheme="minorHAnsi" w:hAnsiTheme="minorHAnsi" w:cstheme="minorHAnsi"/>
                <w:sz w:val="22"/>
                <w:szCs w:val="22"/>
                <w:lang w:val="en-US"/>
              </w:rPr>
              <w:t xml:space="preserve">Member States </w:t>
            </w:r>
            <w:r w:rsidRPr="008B65C6">
              <w:rPr>
                <w:rFonts w:asciiTheme="minorHAnsi" w:hAnsiTheme="minorHAnsi" w:cstheme="minorHAnsi"/>
                <w:b/>
                <w:bCs/>
                <w:i/>
                <w:iCs/>
                <w:sz w:val="22"/>
                <w:szCs w:val="22"/>
                <w:lang w:val="en-US"/>
              </w:rPr>
              <w:t>shall</w:t>
            </w:r>
            <w:r w:rsidRPr="008B65C6">
              <w:rPr>
                <w:rFonts w:asciiTheme="minorHAnsi" w:hAnsiTheme="minorHAnsi" w:cstheme="minorHAnsi"/>
                <w:sz w:val="22"/>
                <w:szCs w:val="22"/>
                <w:lang w:val="en-US"/>
              </w:rPr>
              <w:t xml:space="preserve"> </w:t>
            </w:r>
            <w:r w:rsidRPr="008B65C6">
              <w:rPr>
                <w:rFonts w:asciiTheme="minorHAnsi" w:hAnsiTheme="minorHAnsi" w:cstheme="minorHAnsi"/>
                <w:b/>
                <w:bCs/>
                <w:i/>
                <w:iCs/>
                <w:sz w:val="22"/>
                <w:szCs w:val="22"/>
                <w:lang w:val="en-US"/>
              </w:rPr>
              <w:t>not</w:t>
            </w:r>
            <w:r w:rsidRPr="008B65C6">
              <w:rPr>
                <w:rFonts w:asciiTheme="minorHAnsi" w:hAnsiTheme="minorHAnsi" w:cstheme="minorHAnsi"/>
                <w:sz w:val="22"/>
                <w:szCs w:val="22"/>
                <w:lang w:val="en-US"/>
              </w:rPr>
              <w:t xml:space="preserve"> maintain or introduce, in their national law, </w:t>
            </w:r>
            <w:r w:rsidRPr="008B65C6">
              <w:rPr>
                <w:rFonts w:asciiTheme="minorHAnsi" w:hAnsiTheme="minorHAnsi" w:cstheme="minorHAnsi"/>
                <w:b/>
                <w:bCs/>
                <w:i/>
                <w:iCs/>
                <w:sz w:val="22"/>
                <w:szCs w:val="22"/>
                <w:lang w:val="en-US"/>
              </w:rPr>
              <w:t xml:space="preserve">provisions diverging from those laid down in this Directive, including </w:t>
            </w:r>
            <w:r w:rsidRPr="008B65C6">
              <w:rPr>
                <w:rFonts w:asciiTheme="minorHAnsi" w:hAnsiTheme="minorHAnsi" w:cstheme="minorHAnsi"/>
                <w:sz w:val="22"/>
                <w:szCs w:val="22"/>
                <w:lang w:val="en-US"/>
              </w:rPr>
              <w:t>more</w:t>
            </w:r>
            <w:r w:rsidRPr="008B65C6">
              <w:rPr>
                <w:rFonts w:asciiTheme="minorHAnsi" w:hAnsiTheme="minorHAnsi" w:cstheme="minorHAnsi"/>
                <w:b/>
                <w:bCs/>
                <w:i/>
                <w:iCs/>
                <w:sz w:val="22"/>
                <w:szCs w:val="22"/>
                <w:lang w:val="en-US"/>
              </w:rPr>
              <w:t>, or less,</w:t>
            </w:r>
            <w:r w:rsidRPr="008B65C6">
              <w:rPr>
                <w:rFonts w:asciiTheme="minorHAnsi" w:hAnsiTheme="minorHAnsi" w:cstheme="minorHAnsi"/>
                <w:sz w:val="22"/>
                <w:szCs w:val="22"/>
                <w:lang w:val="en-US"/>
              </w:rPr>
              <w:t xml:space="preserve"> stringent provisions to achieve a different level of consumer protection, </w:t>
            </w:r>
            <w:r w:rsidRPr="008B65C6">
              <w:rPr>
                <w:rFonts w:asciiTheme="minorHAnsi" w:hAnsiTheme="minorHAnsi" w:cstheme="minorHAnsi"/>
                <w:b/>
                <w:bCs/>
                <w:i/>
                <w:iCs/>
                <w:sz w:val="22"/>
                <w:szCs w:val="22"/>
                <w:lang w:val="en-US"/>
              </w:rPr>
              <w:t>unless otherwise provided for in this Directive</w:t>
            </w:r>
          </w:p>
        </w:tc>
        <w:tc>
          <w:tcPr>
            <w:tcW w:w="4531" w:type="dxa"/>
          </w:tcPr>
          <w:p w14:paraId="5C66C9FF" w14:textId="77777777" w:rsidR="009C7729" w:rsidRPr="0031109E" w:rsidRDefault="009C7729" w:rsidP="009C7729">
            <w:pPr>
              <w:pStyle w:val="Standard"/>
              <w:jc w:val="both"/>
              <w:rPr>
                <w:rFonts w:asciiTheme="minorHAnsi" w:hAnsiTheme="minorHAnsi" w:cstheme="minorHAnsi"/>
                <w:b/>
                <w:bCs/>
                <w:sz w:val="22"/>
                <w:szCs w:val="22"/>
                <w:lang w:val="en-US"/>
              </w:rPr>
            </w:pPr>
            <w:r w:rsidRPr="0031109E">
              <w:rPr>
                <w:rFonts w:asciiTheme="minorHAnsi" w:hAnsiTheme="minorHAnsi" w:cstheme="minorHAnsi"/>
                <w:b/>
                <w:bCs/>
                <w:sz w:val="22"/>
                <w:szCs w:val="22"/>
                <w:lang w:val="en-US"/>
              </w:rPr>
              <w:t xml:space="preserve">Article 3 </w:t>
            </w:r>
          </w:p>
          <w:p w14:paraId="6E6017DF" w14:textId="77777777" w:rsidR="009C7729" w:rsidRPr="008B65C6" w:rsidRDefault="009C7729" w:rsidP="009C7729">
            <w:pPr>
              <w:pStyle w:val="Standard"/>
              <w:jc w:val="both"/>
              <w:rPr>
                <w:rFonts w:asciiTheme="minorHAnsi" w:hAnsiTheme="minorHAnsi" w:cstheme="minorHAnsi"/>
                <w:sz w:val="22"/>
                <w:szCs w:val="22"/>
                <w:lang w:val="en-US"/>
              </w:rPr>
            </w:pPr>
            <w:r w:rsidRPr="008B65C6">
              <w:rPr>
                <w:rFonts w:asciiTheme="minorHAnsi" w:hAnsiTheme="minorHAnsi" w:cstheme="minorHAnsi"/>
                <w:sz w:val="22"/>
                <w:szCs w:val="22"/>
                <w:lang w:val="en-US"/>
              </w:rPr>
              <w:t xml:space="preserve">Level of </w:t>
            </w:r>
            <w:proofErr w:type="spellStart"/>
            <w:r w:rsidRPr="008B65C6">
              <w:rPr>
                <w:rFonts w:asciiTheme="minorHAnsi" w:hAnsiTheme="minorHAnsi" w:cstheme="minorHAnsi"/>
                <w:sz w:val="22"/>
                <w:szCs w:val="22"/>
                <w:lang w:val="en-US"/>
              </w:rPr>
              <w:t>harmonisation</w:t>
            </w:r>
            <w:proofErr w:type="spellEnd"/>
            <w:r w:rsidRPr="008B65C6">
              <w:rPr>
                <w:rFonts w:asciiTheme="minorHAnsi" w:hAnsiTheme="minorHAnsi" w:cstheme="minorHAnsi"/>
                <w:sz w:val="22"/>
                <w:szCs w:val="22"/>
                <w:lang w:val="en-US"/>
              </w:rPr>
              <w:t xml:space="preserve"> </w:t>
            </w:r>
          </w:p>
          <w:p w14:paraId="7780B6DA" w14:textId="246AE295" w:rsidR="009C7729" w:rsidRPr="008B65C6" w:rsidRDefault="009C7729" w:rsidP="009C7729">
            <w:pPr>
              <w:pStyle w:val="Standard"/>
              <w:jc w:val="both"/>
              <w:rPr>
                <w:rFonts w:asciiTheme="minorHAnsi" w:eastAsia="Times New Roman" w:hAnsiTheme="minorHAnsi" w:cstheme="minorHAnsi"/>
                <w:color w:val="222222"/>
                <w:sz w:val="22"/>
                <w:szCs w:val="22"/>
                <w:lang w:val="en-US"/>
              </w:rPr>
            </w:pPr>
            <w:r w:rsidRPr="008B65C6">
              <w:rPr>
                <w:rFonts w:asciiTheme="minorHAnsi" w:hAnsiTheme="minorHAnsi" w:cstheme="minorHAnsi"/>
                <w:sz w:val="22"/>
                <w:szCs w:val="22"/>
                <w:lang w:val="en-US"/>
              </w:rPr>
              <w:t xml:space="preserve">Member States </w:t>
            </w:r>
            <w:r w:rsidR="00382E2B" w:rsidRPr="008B65C6">
              <w:rPr>
                <w:rFonts w:asciiTheme="minorHAnsi" w:hAnsiTheme="minorHAnsi" w:cstheme="minorHAnsi"/>
                <w:b/>
                <w:bCs/>
                <w:i/>
                <w:iCs/>
                <w:sz w:val="22"/>
                <w:szCs w:val="22"/>
                <w:lang w:val="en-US"/>
              </w:rPr>
              <w:t>may</w:t>
            </w:r>
            <w:r w:rsidR="00382E2B" w:rsidRPr="008B65C6">
              <w:rPr>
                <w:rFonts w:asciiTheme="minorHAnsi" w:hAnsiTheme="minorHAnsi" w:cstheme="minorHAnsi"/>
                <w:sz w:val="22"/>
                <w:szCs w:val="22"/>
                <w:lang w:val="en-US"/>
              </w:rPr>
              <w:t xml:space="preserve"> </w:t>
            </w:r>
            <w:r w:rsidRPr="008B65C6">
              <w:rPr>
                <w:rFonts w:asciiTheme="minorHAnsi" w:hAnsiTheme="minorHAnsi" w:cstheme="minorHAnsi"/>
                <w:sz w:val="22"/>
                <w:szCs w:val="22"/>
                <w:lang w:val="en-US"/>
              </w:rPr>
              <w:t>maintain or introduce</w:t>
            </w:r>
            <w:r w:rsidR="00AD7853" w:rsidRPr="008B65C6">
              <w:rPr>
                <w:rFonts w:asciiTheme="minorHAnsi" w:hAnsiTheme="minorHAnsi" w:cstheme="minorHAnsi"/>
                <w:sz w:val="22"/>
                <w:szCs w:val="22"/>
                <w:lang w:val="en-US"/>
              </w:rPr>
              <w:t>,</w:t>
            </w:r>
            <w:r w:rsidRPr="008B65C6">
              <w:rPr>
                <w:rFonts w:asciiTheme="minorHAnsi" w:hAnsiTheme="minorHAnsi" w:cstheme="minorHAnsi"/>
                <w:sz w:val="22"/>
                <w:szCs w:val="22"/>
                <w:lang w:val="en-US"/>
              </w:rPr>
              <w:t xml:space="preserve"> in their national law</w:t>
            </w:r>
            <w:r w:rsidR="00AD7853" w:rsidRPr="008B65C6">
              <w:rPr>
                <w:rFonts w:asciiTheme="minorHAnsi" w:hAnsiTheme="minorHAnsi" w:cstheme="minorHAnsi"/>
                <w:sz w:val="22"/>
                <w:szCs w:val="22"/>
                <w:lang w:val="en-US"/>
              </w:rPr>
              <w:t>,</w:t>
            </w:r>
            <w:r w:rsidRPr="008B65C6">
              <w:rPr>
                <w:rFonts w:asciiTheme="minorHAnsi" w:hAnsiTheme="minorHAnsi" w:cstheme="minorHAnsi"/>
                <w:sz w:val="22"/>
                <w:szCs w:val="22"/>
                <w:lang w:val="en-US"/>
              </w:rPr>
              <w:t xml:space="preserve"> more</w:t>
            </w:r>
            <w:r w:rsidR="00AD7853" w:rsidRPr="008B65C6">
              <w:rPr>
                <w:rFonts w:asciiTheme="minorHAnsi" w:hAnsiTheme="minorHAnsi" w:cstheme="minorHAnsi"/>
                <w:sz w:val="22"/>
                <w:szCs w:val="22"/>
                <w:lang w:val="en-US"/>
              </w:rPr>
              <w:t xml:space="preserve"> </w:t>
            </w:r>
            <w:r w:rsidRPr="008B65C6">
              <w:rPr>
                <w:rFonts w:asciiTheme="minorHAnsi" w:hAnsiTheme="minorHAnsi" w:cstheme="minorHAnsi"/>
                <w:sz w:val="22"/>
                <w:szCs w:val="22"/>
                <w:lang w:val="en-US"/>
              </w:rPr>
              <w:t xml:space="preserve">stringent provisions </w:t>
            </w:r>
            <w:r w:rsidR="00F23E05" w:rsidRPr="008B65C6">
              <w:rPr>
                <w:rFonts w:asciiTheme="minorHAnsi" w:hAnsiTheme="minorHAnsi" w:cstheme="minorHAnsi"/>
                <w:b/>
                <w:bCs/>
                <w:i/>
                <w:iCs/>
                <w:sz w:val="22"/>
                <w:szCs w:val="22"/>
                <w:lang w:val="en-US"/>
              </w:rPr>
              <w:t>compared to those laid down in this Directive</w:t>
            </w:r>
            <w:r w:rsidR="00541A5C" w:rsidRPr="008B65C6">
              <w:rPr>
                <w:rFonts w:asciiTheme="minorHAnsi" w:hAnsiTheme="minorHAnsi" w:cstheme="minorHAnsi"/>
                <w:b/>
                <w:bCs/>
                <w:i/>
                <w:iCs/>
                <w:sz w:val="22"/>
                <w:szCs w:val="22"/>
                <w:lang w:val="en-US"/>
              </w:rPr>
              <w:t xml:space="preserve"> </w:t>
            </w:r>
            <w:r w:rsidR="00541A5C" w:rsidRPr="008B65C6">
              <w:rPr>
                <w:rFonts w:asciiTheme="minorHAnsi" w:hAnsiTheme="minorHAnsi" w:cstheme="minorHAnsi"/>
                <w:sz w:val="22"/>
                <w:szCs w:val="22"/>
                <w:lang w:val="en-US"/>
              </w:rPr>
              <w:t>to achieve a</w:t>
            </w:r>
            <w:r w:rsidR="00541A5C" w:rsidRPr="008B65C6">
              <w:rPr>
                <w:rFonts w:asciiTheme="minorHAnsi" w:hAnsiTheme="minorHAnsi" w:cstheme="minorHAnsi"/>
                <w:b/>
                <w:bCs/>
                <w:i/>
                <w:iCs/>
                <w:sz w:val="22"/>
                <w:szCs w:val="22"/>
                <w:lang w:val="en-US"/>
              </w:rPr>
              <w:t xml:space="preserve"> higher </w:t>
            </w:r>
            <w:r w:rsidR="00541A5C" w:rsidRPr="008B65C6">
              <w:rPr>
                <w:rFonts w:asciiTheme="minorHAnsi" w:hAnsiTheme="minorHAnsi" w:cstheme="minorHAnsi"/>
                <w:sz w:val="22"/>
                <w:szCs w:val="22"/>
                <w:lang w:val="en-US"/>
              </w:rPr>
              <w:t>level of consumer protection</w:t>
            </w:r>
            <w:r w:rsidR="005416B9" w:rsidRPr="008B65C6">
              <w:rPr>
                <w:rFonts w:asciiTheme="minorHAnsi" w:hAnsiTheme="minorHAnsi" w:cstheme="minorHAnsi"/>
                <w:sz w:val="22"/>
                <w:szCs w:val="22"/>
                <w:lang w:val="en-US"/>
              </w:rPr>
              <w:t xml:space="preserve">. </w:t>
            </w:r>
            <w:r w:rsidR="005416B9" w:rsidRPr="008B65C6">
              <w:rPr>
                <w:rFonts w:asciiTheme="minorHAnsi" w:hAnsiTheme="minorHAnsi" w:cstheme="minorHAnsi"/>
                <w:strike/>
                <w:sz w:val="22"/>
                <w:szCs w:val="22"/>
                <w:lang w:val="en-US"/>
              </w:rPr>
              <w:t xml:space="preserve"> </w:t>
            </w:r>
          </w:p>
        </w:tc>
      </w:tr>
      <w:tr w:rsidR="00F82D41" w:rsidRPr="008B65C6" w14:paraId="4EE6B1B9" w14:textId="77777777" w:rsidTr="009C7729">
        <w:tc>
          <w:tcPr>
            <w:tcW w:w="4531" w:type="dxa"/>
          </w:tcPr>
          <w:p w14:paraId="564DA2DF" w14:textId="77777777" w:rsidR="00F82D41" w:rsidRPr="008B65C6" w:rsidRDefault="00F82D41" w:rsidP="00586029">
            <w:pPr>
              <w:pStyle w:val="Standard"/>
              <w:jc w:val="both"/>
              <w:rPr>
                <w:rFonts w:asciiTheme="minorHAnsi" w:hAnsiTheme="minorHAnsi" w:cstheme="minorHAnsi"/>
                <w:sz w:val="22"/>
                <w:szCs w:val="22"/>
                <w:lang w:val="en-US"/>
              </w:rPr>
            </w:pPr>
          </w:p>
        </w:tc>
        <w:tc>
          <w:tcPr>
            <w:tcW w:w="4531" w:type="dxa"/>
          </w:tcPr>
          <w:p w14:paraId="5A90A11C" w14:textId="110D2742" w:rsidR="00F82D41" w:rsidRPr="00F02A83" w:rsidRDefault="00F82D41" w:rsidP="009C7729">
            <w:pPr>
              <w:pStyle w:val="Standard"/>
              <w:jc w:val="both"/>
              <w:rPr>
                <w:rFonts w:asciiTheme="minorHAnsi" w:hAnsiTheme="minorHAnsi" w:cstheme="minorHAnsi"/>
                <w:b/>
                <w:sz w:val="22"/>
                <w:szCs w:val="22"/>
                <w:highlight w:val="lightGray"/>
                <w:lang w:val="en-US"/>
              </w:rPr>
            </w:pPr>
            <w:r w:rsidRPr="00F02A83">
              <w:rPr>
                <w:rFonts w:asciiTheme="minorHAnsi" w:hAnsiTheme="minorHAnsi" w:cstheme="minorHAnsi"/>
                <w:b/>
                <w:sz w:val="22"/>
                <w:szCs w:val="22"/>
                <w:highlight w:val="lightGray"/>
                <w:lang w:val="en-US"/>
              </w:rPr>
              <w:t>OR</w:t>
            </w:r>
            <w:r w:rsidR="008B65C6" w:rsidRPr="00F02A83">
              <w:rPr>
                <w:rFonts w:asciiTheme="minorHAnsi" w:hAnsiTheme="minorHAnsi" w:cstheme="minorHAnsi"/>
                <w:b/>
                <w:sz w:val="22"/>
                <w:szCs w:val="22"/>
                <w:highlight w:val="lightGray"/>
                <w:lang w:val="en-US"/>
              </w:rPr>
              <w:t xml:space="preserve"> (ALTERNATIVE PROPOSALS)</w:t>
            </w:r>
          </w:p>
          <w:p w14:paraId="07002C51" w14:textId="3A3D8F5F" w:rsidR="00F82D41" w:rsidRPr="00F02A83" w:rsidRDefault="00F82D41" w:rsidP="009C7729">
            <w:pPr>
              <w:pStyle w:val="Standard"/>
              <w:jc w:val="both"/>
              <w:rPr>
                <w:rFonts w:asciiTheme="minorHAnsi" w:hAnsiTheme="minorHAnsi" w:cstheme="minorHAnsi"/>
                <w:b/>
                <w:i/>
                <w:sz w:val="22"/>
                <w:szCs w:val="22"/>
                <w:highlight w:val="lightGray"/>
                <w:lang w:val="en-US"/>
              </w:rPr>
            </w:pPr>
            <w:r w:rsidRPr="00F02A83">
              <w:rPr>
                <w:rFonts w:asciiTheme="minorHAnsi" w:hAnsiTheme="minorHAnsi" w:cstheme="minorHAnsi"/>
                <w:b/>
                <w:i/>
                <w:sz w:val="22"/>
                <w:szCs w:val="22"/>
                <w:highlight w:val="lightGray"/>
                <w:lang w:val="en-US"/>
              </w:rPr>
              <w:t>Article 3</w:t>
            </w:r>
            <w:r w:rsidR="00AB07B9" w:rsidRPr="00F02A83">
              <w:rPr>
                <w:rFonts w:asciiTheme="minorHAnsi" w:hAnsiTheme="minorHAnsi" w:cstheme="minorHAnsi"/>
                <w:b/>
                <w:i/>
                <w:sz w:val="22"/>
                <w:szCs w:val="22"/>
                <w:highlight w:val="lightGray"/>
                <w:lang w:val="en-US"/>
              </w:rPr>
              <w:t xml:space="preserve"> bis</w:t>
            </w:r>
            <w:r w:rsidRPr="00F02A83">
              <w:rPr>
                <w:rFonts w:asciiTheme="minorHAnsi" w:hAnsiTheme="minorHAnsi" w:cstheme="minorHAnsi"/>
                <w:b/>
                <w:i/>
                <w:sz w:val="22"/>
                <w:szCs w:val="22"/>
                <w:highlight w:val="lightGray"/>
                <w:lang w:val="en-US"/>
              </w:rPr>
              <w:t xml:space="preserve"> new</w:t>
            </w:r>
          </w:p>
          <w:p w14:paraId="4E587512" w14:textId="3290037D" w:rsidR="00F82D41" w:rsidRPr="00F02A83" w:rsidRDefault="00F82D41" w:rsidP="009C7729">
            <w:pPr>
              <w:pStyle w:val="Standard"/>
              <w:jc w:val="both"/>
              <w:rPr>
                <w:rFonts w:asciiTheme="minorHAnsi" w:hAnsiTheme="minorHAnsi" w:cstheme="minorHAnsi"/>
                <w:b/>
                <w:i/>
                <w:sz w:val="22"/>
                <w:szCs w:val="22"/>
                <w:highlight w:val="lightGray"/>
                <w:lang w:val="en-US"/>
              </w:rPr>
            </w:pPr>
          </w:p>
          <w:p w14:paraId="59E2A4FB" w14:textId="1AB9F67D" w:rsidR="00F82D41" w:rsidRPr="00F02A83" w:rsidRDefault="00F82D41" w:rsidP="009C7729">
            <w:pPr>
              <w:pStyle w:val="Standard"/>
              <w:jc w:val="both"/>
              <w:rPr>
                <w:rFonts w:asciiTheme="minorHAnsi" w:hAnsiTheme="minorHAnsi" w:cstheme="minorHAnsi"/>
                <w:b/>
                <w:i/>
                <w:sz w:val="22"/>
                <w:szCs w:val="22"/>
                <w:highlight w:val="lightGray"/>
                <w:lang w:val="en-US"/>
              </w:rPr>
            </w:pPr>
            <w:r w:rsidRPr="00F02A83">
              <w:rPr>
                <w:rFonts w:asciiTheme="minorHAnsi" w:hAnsiTheme="minorHAnsi" w:cstheme="minorHAnsi"/>
                <w:b/>
                <w:i/>
                <w:sz w:val="22"/>
                <w:szCs w:val="22"/>
                <w:highlight w:val="lightGray"/>
                <w:lang w:val="en-US"/>
              </w:rPr>
              <w:t xml:space="preserve">For </w:t>
            </w:r>
            <w:r w:rsidR="00600AC3" w:rsidRPr="00F02A83">
              <w:rPr>
                <w:rFonts w:asciiTheme="minorHAnsi" w:hAnsiTheme="minorHAnsi" w:cstheme="minorHAnsi"/>
                <w:b/>
                <w:i/>
                <w:sz w:val="22"/>
                <w:szCs w:val="22"/>
                <w:highlight w:val="lightGray"/>
                <w:lang w:val="en-US"/>
              </w:rPr>
              <w:t>medicinal</w:t>
            </w:r>
            <w:r w:rsidRPr="00F02A83">
              <w:rPr>
                <w:rFonts w:asciiTheme="minorHAnsi" w:hAnsiTheme="minorHAnsi" w:cstheme="minorHAnsi"/>
                <w:b/>
                <w:i/>
                <w:sz w:val="22"/>
                <w:szCs w:val="22"/>
                <w:highlight w:val="lightGray"/>
                <w:lang w:val="en-US"/>
              </w:rPr>
              <w:t xml:space="preserve"> products, medical devices and health technologies</w:t>
            </w:r>
            <w:r w:rsidR="008B65C6" w:rsidRPr="00F02A83">
              <w:rPr>
                <w:rFonts w:asciiTheme="minorHAnsi" w:hAnsiTheme="minorHAnsi" w:cstheme="minorHAnsi"/>
                <w:b/>
                <w:i/>
                <w:sz w:val="22"/>
                <w:szCs w:val="22"/>
                <w:highlight w:val="lightGray"/>
                <w:lang w:val="en-US"/>
              </w:rPr>
              <w:t xml:space="preserve"> in general</w:t>
            </w:r>
            <w:r w:rsidRPr="00F02A83">
              <w:rPr>
                <w:rFonts w:asciiTheme="minorHAnsi" w:hAnsiTheme="minorHAnsi" w:cstheme="minorHAnsi"/>
                <w:b/>
                <w:i/>
                <w:sz w:val="22"/>
                <w:szCs w:val="22"/>
                <w:highlight w:val="lightGray"/>
                <w:lang w:val="en-US"/>
              </w:rPr>
              <w:t xml:space="preserve">, Member States </w:t>
            </w:r>
            <w:r w:rsidRPr="00F02A83">
              <w:rPr>
                <w:rFonts w:asciiTheme="minorHAnsi" w:hAnsiTheme="minorHAnsi" w:cstheme="minorHAnsi"/>
                <w:b/>
                <w:bCs/>
                <w:i/>
                <w:iCs/>
                <w:sz w:val="22"/>
                <w:szCs w:val="22"/>
                <w:highlight w:val="lightGray"/>
                <w:lang w:val="en-US"/>
              </w:rPr>
              <w:t>may</w:t>
            </w:r>
            <w:r w:rsidRPr="00F02A83">
              <w:rPr>
                <w:rFonts w:asciiTheme="minorHAnsi" w:hAnsiTheme="minorHAnsi" w:cstheme="minorHAnsi"/>
                <w:b/>
                <w:i/>
                <w:sz w:val="22"/>
                <w:szCs w:val="22"/>
                <w:highlight w:val="lightGray"/>
                <w:lang w:val="en-US"/>
              </w:rPr>
              <w:t xml:space="preserve"> maintain or introduce, in their national law, more stringent provisions </w:t>
            </w:r>
            <w:r w:rsidRPr="00F02A83">
              <w:rPr>
                <w:rFonts w:asciiTheme="minorHAnsi" w:hAnsiTheme="minorHAnsi" w:cstheme="minorHAnsi"/>
                <w:b/>
                <w:bCs/>
                <w:i/>
                <w:iCs/>
                <w:sz w:val="22"/>
                <w:szCs w:val="22"/>
                <w:highlight w:val="lightGray"/>
                <w:lang w:val="en-US"/>
              </w:rPr>
              <w:t xml:space="preserve">compared to those laid down in this Directive </w:t>
            </w:r>
            <w:r w:rsidRPr="00F02A83">
              <w:rPr>
                <w:rFonts w:asciiTheme="minorHAnsi" w:hAnsiTheme="minorHAnsi" w:cstheme="minorHAnsi"/>
                <w:b/>
                <w:i/>
                <w:sz w:val="22"/>
                <w:szCs w:val="22"/>
                <w:highlight w:val="lightGray"/>
                <w:lang w:val="en-US"/>
              </w:rPr>
              <w:t>to achieve a</w:t>
            </w:r>
            <w:r w:rsidRPr="00F02A83">
              <w:rPr>
                <w:rFonts w:asciiTheme="minorHAnsi" w:hAnsiTheme="minorHAnsi" w:cstheme="minorHAnsi"/>
                <w:b/>
                <w:bCs/>
                <w:i/>
                <w:iCs/>
                <w:sz w:val="22"/>
                <w:szCs w:val="22"/>
                <w:highlight w:val="lightGray"/>
                <w:lang w:val="en-US"/>
              </w:rPr>
              <w:t xml:space="preserve"> higher </w:t>
            </w:r>
            <w:r w:rsidRPr="00F02A83">
              <w:rPr>
                <w:rFonts w:asciiTheme="minorHAnsi" w:hAnsiTheme="minorHAnsi" w:cstheme="minorHAnsi"/>
                <w:b/>
                <w:i/>
                <w:sz w:val="22"/>
                <w:szCs w:val="22"/>
                <w:highlight w:val="lightGray"/>
                <w:lang w:val="en-US"/>
              </w:rPr>
              <w:t xml:space="preserve">level of patient protection. </w:t>
            </w:r>
            <w:r w:rsidRPr="00F02A83">
              <w:rPr>
                <w:rFonts w:asciiTheme="minorHAnsi" w:hAnsiTheme="minorHAnsi" w:cstheme="minorHAnsi"/>
                <w:b/>
                <w:i/>
                <w:strike/>
                <w:sz w:val="22"/>
                <w:szCs w:val="22"/>
                <w:highlight w:val="lightGray"/>
                <w:lang w:val="en-US"/>
              </w:rPr>
              <w:t xml:space="preserve"> </w:t>
            </w:r>
          </w:p>
          <w:p w14:paraId="7B6E3B52" w14:textId="35688D44" w:rsidR="00F82D41" w:rsidRPr="00F02A83" w:rsidRDefault="00F82D41" w:rsidP="009C7729">
            <w:pPr>
              <w:pStyle w:val="Standard"/>
              <w:jc w:val="both"/>
              <w:rPr>
                <w:rFonts w:asciiTheme="minorHAnsi" w:hAnsiTheme="minorHAnsi" w:cstheme="minorHAnsi"/>
                <w:b/>
                <w:i/>
                <w:sz w:val="22"/>
                <w:szCs w:val="22"/>
                <w:highlight w:val="lightGray"/>
                <w:lang w:val="en-US"/>
              </w:rPr>
            </w:pPr>
          </w:p>
        </w:tc>
      </w:tr>
      <w:tr w:rsidR="00F82D41" w:rsidRPr="008B65C6" w14:paraId="4770A479" w14:textId="77777777" w:rsidTr="009C7729">
        <w:tc>
          <w:tcPr>
            <w:tcW w:w="4531" w:type="dxa"/>
          </w:tcPr>
          <w:p w14:paraId="5B1217F1" w14:textId="77777777" w:rsidR="00F82D41" w:rsidRPr="008B65C6" w:rsidRDefault="00F82D41" w:rsidP="00586029">
            <w:pPr>
              <w:pStyle w:val="Standard"/>
              <w:jc w:val="both"/>
              <w:rPr>
                <w:rFonts w:asciiTheme="minorHAnsi" w:hAnsiTheme="minorHAnsi" w:cstheme="minorHAnsi"/>
                <w:sz w:val="22"/>
                <w:szCs w:val="22"/>
                <w:lang w:val="en-US"/>
              </w:rPr>
            </w:pPr>
          </w:p>
        </w:tc>
        <w:tc>
          <w:tcPr>
            <w:tcW w:w="4531" w:type="dxa"/>
          </w:tcPr>
          <w:p w14:paraId="29DD462C" w14:textId="1496961D" w:rsidR="00F82D41" w:rsidRPr="00F02A83" w:rsidRDefault="00F82D41" w:rsidP="009C7729">
            <w:pPr>
              <w:pStyle w:val="Standard"/>
              <w:jc w:val="both"/>
              <w:rPr>
                <w:rFonts w:asciiTheme="minorHAnsi" w:hAnsiTheme="minorHAnsi" w:cstheme="minorHAnsi"/>
                <w:b/>
                <w:sz w:val="22"/>
                <w:szCs w:val="22"/>
                <w:highlight w:val="lightGray"/>
                <w:lang w:val="en-US"/>
              </w:rPr>
            </w:pPr>
            <w:r w:rsidRPr="00F02A83">
              <w:rPr>
                <w:rFonts w:asciiTheme="minorHAnsi" w:hAnsiTheme="minorHAnsi" w:cstheme="minorHAnsi"/>
                <w:b/>
                <w:sz w:val="22"/>
                <w:szCs w:val="22"/>
                <w:highlight w:val="lightGray"/>
                <w:lang w:val="en-US"/>
              </w:rPr>
              <w:t xml:space="preserve">New recital </w:t>
            </w:r>
          </w:p>
          <w:p w14:paraId="481C2275" w14:textId="77777777" w:rsidR="00F82D41" w:rsidRPr="00F02A83" w:rsidRDefault="00F82D41" w:rsidP="009C7729">
            <w:pPr>
              <w:pStyle w:val="Standard"/>
              <w:jc w:val="both"/>
              <w:rPr>
                <w:rFonts w:asciiTheme="minorHAnsi" w:hAnsiTheme="minorHAnsi" w:cstheme="minorHAnsi"/>
                <w:b/>
                <w:sz w:val="22"/>
                <w:szCs w:val="22"/>
                <w:highlight w:val="lightGray"/>
                <w:lang w:val="en-US"/>
              </w:rPr>
            </w:pPr>
          </w:p>
          <w:p w14:paraId="602D5DB4" w14:textId="6BE70FEB" w:rsidR="00F82D41" w:rsidRPr="00F02A83" w:rsidRDefault="003025FE" w:rsidP="009C7729">
            <w:pPr>
              <w:pStyle w:val="Standard"/>
              <w:jc w:val="both"/>
              <w:rPr>
                <w:rFonts w:asciiTheme="minorHAnsi" w:hAnsiTheme="minorHAnsi" w:cstheme="minorHAnsi"/>
                <w:b/>
                <w:i/>
                <w:sz w:val="22"/>
                <w:szCs w:val="22"/>
                <w:highlight w:val="lightGray"/>
                <w:lang w:val="en-US"/>
              </w:rPr>
            </w:pPr>
            <w:r w:rsidRPr="00F02A83">
              <w:rPr>
                <w:rFonts w:asciiTheme="minorHAnsi" w:hAnsiTheme="minorHAnsi" w:cstheme="minorHAnsi"/>
                <w:b/>
                <w:i/>
                <w:sz w:val="22"/>
                <w:szCs w:val="22"/>
                <w:highlight w:val="lightGray"/>
                <w:lang w:val="en-US"/>
              </w:rPr>
              <w:t xml:space="preserve">Patients harmed by </w:t>
            </w:r>
            <w:r w:rsidR="00600AC3" w:rsidRPr="00F02A83">
              <w:rPr>
                <w:rFonts w:asciiTheme="minorHAnsi" w:hAnsiTheme="minorHAnsi" w:cstheme="minorHAnsi"/>
                <w:b/>
                <w:i/>
                <w:sz w:val="22"/>
                <w:szCs w:val="22"/>
                <w:highlight w:val="lightGray"/>
                <w:lang w:val="en-US"/>
              </w:rPr>
              <w:t>medicinal</w:t>
            </w:r>
            <w:r w:rsidR="00F82D41" w:rsidRPr="00F02A83">
              <w:rPr>
                <w:rFonts w:asciiTheme="minorHAnsi" w:hAnsiTheme="minorHAnsi" w:cstheme="minorHAnsi"/>
                <w:b/>
                <w:i/>
                <w:sz w:val="22"/>
                <w:szCs w:val="22"/>
                <w:highlight w:val="lightGray"/>
                <w:lang w:val="en-US"/>
              </w:rPr>
              <w:t xml:space="preserve"> products, medical devices and health technologies</w:t>
            </w:r>
            <w:r w:rsidRPr="00F02A83">
              <w:rPr>
                <w:rFonts w:asciiTheme="minorHAnsi" w:hAnsiTheme="minorHAnsi" w:cstheme="minorHAnsi"/>
                <w:b/>
                <w:i/>
                <w:sz w:val="22"/>
                <w:szCs w:val="22"/>
                <w:highlight w:val="lightGray"/>
                <w:lang w:val="en-US"/>
              </w:rPr>
              <w:t xml:space="preserve"> </w:t>
            </w:r>
            <w:r w:rsidR="00F02A83" w:rsidRPr="00F02A83">
              <w:rPr>
                <w:rFonts w:asciiTheme="minorHAnsi" w:hAnsiTheme="minorHAnsi" w:cstheme="minorHAnsi"/>
                <w:b/>
                <w:i/>
                <w:sz w:val="22"/>
                <w:szCs w:val="22"/>
                <w:highlight w:val="lightGray"/>
                <w:lang w:val="en-US"/>
              </w:rPr>
              <w:t xml:space="preserve">in general </w:t>
            </w:r>
            <w:r w:rsidRPr="00F02A83">
              <w:rPr>
                <w:rFonts w:asciiTheme="minorHAnsi" w:hAnsiTheme="minorHAnsi" w:cstheme="minorHAnsi"/>
                <w:b/>
                <w:i/>
                <w:sz w:val="22"/>
                <w:szCs w:val="22"/>
                <w:highlight w:val="lightGray"/>
                <w:lang w:val="en-US"/>
              </w:rPr>
              <w:t>deserve a particular protection</w:t>
            </w:r>
            <w:r w:rsidR="008B65C6" w:rsidRPr="00F02A83">
              <w:rPr>
                <w:rFonts w:asciiTheme="minorHAnsi" w:hAnsiTheme="minorHAnsi" w:cstheme="minorHAnsi"/>
                <w:b/>
                <w:i/>
                <w:sz w:val="22"/>
                <w:szCs w:val="22"/>
                <w:highlight w:val="lightGray"/>
                <w:lang w:val="en-US"/>
              </w:rPr>
              <w:t xml:space="preserve"> because of the specificity of these products</w:t>
            </w:r>
            <w:r w:rsidR="00F02A83" w:rsidRPr="00F02A83">
              <w:rPr>
                <w:rFonts w:asciiTheme="minorHAnsi" w:hAnsiTheme="minorHAnsi" w:cstheme="minorHAnsi"/>
                <w:b/>
                <w:i/>
                <w:sz w:val="22"/>
                <w:szCs w:val="22"/>
                <w:highlight w:val="lightGray"/>
                <w:lang w:val="en-US"/>
              </w:rPr>
              <w:t>: t</w:t>
            </w:r>
            <w:r w:rsidRPr="00F02A83">
              <w:rPr>
                <w:rFonts w:asciiTheme="minorHAnsi" w:hAnsiTheme="minorHAnsi" w:cstheme="minorHAnsi"/>
                <w:b/>
                <w:i/>
                <w:sz w:val="22"/>
                <w:szCs w:val="22"/>
                <w:highlight w:val="lightGray"/>
                <w:lang w:val="en-US"/>
              </w:rPr>
              <w:t>he</w:t>
            </w:r>
            <w:r w:rsidR="00F02A83" w:rsidRPr="00F02A83">
              <w:rPr>
                <w:rFonts w:asciiTheme="minorHAnsi" w:hAnsiTheme="minorHAnsi" w:cstheme="minorHAnsi"/>
                <w:b/>
                <w:i/>
                <w:sz w:val="22"/>
                <w:szCs w:val="22"/>
                <w:highlight w:val="lightGray"/>
                <w:lang w:val="en-US"/>
              </w:rPr>
              <w:t>ir</w:t>
            </w:r>
            <w:r w:rsidRPr="00F02A83">
              <w:rPr>
                <w:rFonts w:asciiTheme="minorHAnsi" w:hAnsiTheme="minorHAnsi" w:cstheme="minorHAnsi"/>
                <w:b/>
                <w:i/>
                <w:sz w:val="22"/>
                <w:szCs w:val="22"/>
                <w:highlight w:val="lightGray"/>
                <w:lang w:val="en-US"/>
              </w:rPr>
              <w:t xml:space="preserve"> consumption </w:t>
            </w:r>
            <w:r w:rsidR="008B65C6" w:rsidRPr="00F02A83">
              <w:rPr>
                <w:rFonts w:asciiTheme="minorHAnsi" w:hAnsiTheme="minorHAnsi" w:cstheme="minorHAnsi"/>
                <w:b/>
                <w:i/>
                <w:sz w:val="22"/>
                <w:szCs w:val="22"/>
                <w:highlight w:val="lightGray"/>
                <w:lang w:val="en-US"/>
              </w:rPr>
              <w:t xml:space="preserve">does not </w:t>
            </w:r>
            <w:r w:rsidRPr="00F02A83">
              <w:rPr>
                <w:rFonts w:asciiTheme="minorHAnsi" w:hAnsiTheme="minorHAnsi" w:cstheme="minorHAnsi"/>
                <w:b/>
                <w:i/>
                <w:sz w:val="22"/>
                <w:szCs w:val="22"/>
                <w:highlight w:val="lightGray"/>
                <w:lang w:val="en-US"/>
              </w:rPr>
              <w:t>rel</w:t>
            </w:r>
            <w:r w:rsidR="008B65C6" w:rsidRPr="00F02A83">
              <w:rPr>
                <w:rFonts w:asciiTheme="minorHAnsi" w:hAnsiTheme="minorHAnsi" w:cstheme="minorHAnsi"/>
                <w:b/>
                <w:i/>
                <w:sz w:val="22"/>
                <w:szCs w:val="22"/>
                <w:highlight w:val="lightGray"/>
                <w:lang w:val="en-US"/>
              </w:rPr>
              <w:t>y</w:t>
            </w:r>
            <w:r w:rsidRPr="00F02A83">
              <w:rPr>
                <w:rFonts w:asciiTheme="minorHAnsi" w:hAnsiTheme="minorHAnsi" w:cstheme="minorHAnsi"/>
                <w:b/>
                <w:i/>
                <w:sz w:val="22"/>
                <w:szCs w:val="22"/>
                <w:highlight w:val="lightGray"/>
                <w:lang w:val="en-US"/>
              </w:rPr>
              <w:t xml:space="preserve"> on the patient’s own choice</w:t>
            </w:r>
            <w:r w:rsidR="00F82D41" w:rsidRPr="00F02A83">
              <w:rPr>
                <w:rFonts w:asciiTheme="minorHAnsi" w:hAnsiTheme="minorHAnsi" w:cstheme="minorHAnsi"/>
                <w:b/>
                <w:i/>
                <w:sz w:val="22"/>
                <w:szCs w:val="22"/>
                <w:highlight w:val="lightGray"/>
                <w:lang w:val="en-US"/>
              </w:rPr>
              <w:t xml:space="preserve">. </w:t>
            </w:r>
            <w:r w:rsidR="00F82D41" w:rsidRPr="00F02A83">
              <w:rPr>
                <w:rFonts w:asciiTheme="minorHAnsi" w:hAnsiTheme="minorHAnsi" w:cstheme="minorHAnsi"/>
                <w:b/>
                <w:i/>
                <w:strike/>
                <w:sz w:val="22"/>
                <w:szCs w:val="22"/>
                <w:highlight w:val="lightGray"/>
                <w:lang w:val="en-US"/>
              </w:rPr>
              <w:t xml:space="preserve"> </w:t>
            </w:r>
          </w:p>
        </w:tc>
      </w:tr>
    </w:tbl>
    <w:p w14:paraId="63F2BD49" w14:textId="77777777" w:rsidR="009B1D22" w:rsidRPr="008B65C6" w:rsidRDefault="009B1D22" w:rsidP="00586029">
      <w:pPr>
        <w:pStyle w:val="Standard"/>
        <w:shd w:val="clear" w:color="auto" w:fill="FFFFFF"/>
        <w:jc w:val="both"/>
        <w:rPr>
          <w:rFonts w:asciiTheme="minorHAnsi" w:eastAsia="Times New Roman" w:hAnsiTheme="minorHAnsi" w:cstheme="minorHAnsi"/>
          <w:color w:val="222222"/>
          <w:sz w:val="22"/>
          <w:szCs w:val="22"/>
          <w:lang w:val="en-US"/>
        </w:rPr>
      </w:pPr>
    </w:p>
    <w:p w14:paraId="30A8D641" w14:textId="77777777" w:rsidR="00586029" w:rsidRPr="008B65C6" w:rsidRDefault="00586029" w:rsidP="00586029">
      <w:pPr>
        <w:pStyle w:val="Standard"/>
        <w:shd w:val="clear" w:color="auto" w:fill="FFFFFF"/>
        <w:jc w:val="both"/>
        <w:rPr>
          <w:rFonts w:asciiTheme="minorHAnsi" w:eastAsia="Times New Roman" w:hAnsiTheme="minorHAnsi" w:cstheme="minorHAnsi"/>
          <w:color w:val="222222"/>
          <w:sz w:val="22"/>
          <w:szCs w:val="22"/>
          <w:lang w:val="en-US"/>
        </w:rPr>
      </w:pPr>
    </w:p>
    <w:p w14:paraId="7ABE43B6" w14:textId="5CF2E72F" w:rsidR="0031109E" w:rsidRPr="0031109E" w:rsidRDefault="0031109E" w:rsidP="0031109E">
      <w:pPr>
        <w:pStyle w:val="Standard"/>
        <w:shd w:val="clear" w:color="auto" w:fill="FFFFFF"/>
        <w:jc w:val="both"/>
        <w:rPr>
          <w:rFonts w:asciiTheme="minorHAnsi" w:eastAsia="Times New Roman" w:hAnsiTheme="minorHAnsi" w:cstheme="minorHAnsi"/>
          <w:b/>
          <w:bCs/>
          <w:color w:val="222222"/>
          <w:sz w:val="22"/>
          <w:szCs w:val="22"/>
          <w:lang w:val="en-US"/>
        </w:rPr>
      </w:pPr>
      <w:r w:rsidRPr="0031109E">
        <w:rPr>
          <w:rFonts w:asciiTheme="minorHAnsi" w:eastAsia="Times New Roman" w:hAnsiTheme="minorHAnsi" w:cstheme="minorHAnsi"/>
          <w:b/>
          <w:bCs/>
          <w:color w:val="222222"/>
          <w:sz w:val="22"/>
          <w:szCs w:val="22"/>
          <w:lang w:val="en-US"/>
        </w:rPr>
        <w:t>De</w:t>
      </w:r>
      <w:r>
        <w:rPr>
          <w:rFonts w:asciiTheme="minorHAnsi" w:eastAsia="Times New Roman" w:hAnsiTheme="minorHAnsi" w:cstheme="minorHAnsi"/>
          <w:b/>
          <w:bCs/>
          <w:color w:val="222222"/>
          <w:sz w:val="22"/>
          <w:szCs w:val="22"/>
          <w:lang w:val="en-US"/>
        </w:rPr>
        <w:t xml:space="preserve">fault </w:t>
      </w:r>
      <w:r w:rsidRPr="0031109E">
        <w:rPr>
          <w:rFonts w:asciiTheme="minorHAnsi" w:eastAsia="Times New Roman" w:hAnsiTheme="minorHAnsi" w:cstheme="minorHAnsi"/>
          <w:b/>
          <w:bCs/>
          <w:color w:val="222222"/>
          <w:sz w:val="22"/>
          <w:szCs w:val="22"/>
          <w:lang w:val="en-US"/>
        </w:rPr>
        <w:t>def</w:t>
      </w:r>
      <w:r>
        <w:rPr>
          <w:rFonts w:asciiTheme="minorHAnsi" w:eastAsia="Times New Roman" w:hAnsiTheme="minorHAnsi" w:cstheme="minorHAnsi"/>
          <w:b/>
          <w:bCs/>
          <w:color w:val="222222"/>
          <w:sz w:val="22"/>
          <w:szCs w:val="22"/>
          <w:lang w:val="en-US"/>
        </w:rPr>
        <w:t>ectiveness</w:t>
      </w:r>
      <w:r w:rsidRPr="0031109E">
        <w:rPr>
          <w:rFonts w:asciiTheme="minorHAnsi" w:eastAsia="Times New Roman" w:hAnsiTheme="minorHAnsi" w:cstheme="minorHAnsi"/>
          <w:b/>
          <w:bCs/>
          <w:color w:val="222222"/>
          <w:sz w:val="22"/>
          <w:szCs w:val="22"/>
          <w:lang w:val="en-US"/>
        </w:rPr>
        <w:t xml:space="preserve"> when the risk of damage is known but unavoidable</w:t>
      </w:r>
    </w:p>
    <w:p w14:paraId="703899FC" w14:textId="6CE4A5B1" w:rsidR="0031109E" w:rsidRPr="0031109E" w:rsidRDefault="00ED7538" w:rsidP="0031109E">
      <w:pPr>
        <w:pStyle w:val="Standard"/>
        <w:shd w:val="clear" w:color="auto" w:fill="FFFFFF"/>
        <w:jc w:val="both"/>
        <w:rPr>
          <w:rFonts w:asciiTheme="minorHAnsi" w:eastAsia="Times New Roman" w:hAnsiTheme="minorHAnsi" w:cstheme="minorHAnsi"/>
          <w:color w:val="222222"/>
          <w:sz w:val="22"/>
          <w:szCs w:val="22"/>
          <w:lang w:val="en-US"/>
        </w:rPr>
      </w:pPr>
      <w:r>
        <w:rPr>
          <w:rFonts w:asciiTheme="minorHAnsi" w:eastAsia="Times New Roman" w:hAnsiTheme="minorHAnsi" w:cstheme="minorHAnsi"/>
          <w:color w:val="222222"/>
          <w:sz w:val="22"/>
          <w:szCs w:val="22"/>
          <w:lang w:val="en-US"/>
        </w:rPr>
        <w:t>A</w:t>
      </w:r>
      <w:r w:rsidRPr="0031109E">
        <w:rPr>
          <w:rFonts w:asciiTheme="minorHAnsi" w:eastAsia="Times New Roman" w:hAnsiTheme="minorHAnsi" w:cstheme="minorHAnsi"/>
          <w:color w:val="222222"/>
          <w:sz w:val="22"/>
          <w:szCs w:val="22"/>
          <w:lang w:val="en-US"/>
        </w:rPr>
        <w:t>s it stands</w:t>
      </w:r>
      <w:r>
        <w:rPr>
          <w:rFonts w:asciiTheme="minorHAnsi" w:eastAsia="Times New Roman" w:hAnsiTheme="minorHAnsi" w:cstheme="minorHAnsi"/>
          <w:color w:val="222222"/>
          <w:sz w:val="22"/>
          <w:szCs w:val="22"/>
          <w:lang w:val="en-US"/>
        </w:rPr>
        <w:t xml:space="preserve"> and is interpreted in the caselaw of national courts</w:t>
      </w:r>
      <w:r w:rsidRPr="0031109E">
        <w:rPr>
          <w:rFonts w:asciiTheme="minorHAnsi" w:eastAsia="Times New Roman" w:hAnsiTheme="minorHAnsi" w:cstheme="minorHAnsi"/>
          <w:color w:val="222222"/>
          <w:sz w:val="22"/>
          <w:szCs w:val="22"/>
          <w:lang w:val="en-US"/>
        </w:rPr>
        <w:t xml:space="preserve">, </w:t>
      </w:r>
      <w:r>
        <w:rPr>
          <w:rFonts w:asciiTheme="minorHAnsi" w:eastAsia="Times New Roman" w:hAnsiTheme="minorHAnsi" w:cstheme="minorHAnsi"/>
          <w:color w:val="222222"/>
          <w:sz w:val="22"/>
          <w:szCs w:val="22"/>
          <w:lang w:val="en-US"/>
        </w:rPr>
        <w:t>t</w:t>
      </w:r>
      <w:r w:rsidR="0031109E" w:rsidRPr="0031109E">
        <w:rPr>
          <w:rFonts w:asciiTheme="minorHAnsi" w:eastAsia="Times New Roman" w:hAnsiTheme="minorHAnsi" w:cstheme="minorHAnsi"/>
          <w:color w:val="222222"/>
          <w:sz w:val="22"/>
          <w:szCs w:val="22"/>
          <w:lang w:val="en-US"/>
        </w:rPr>
        <w:t xml:space="preserve">he definition of the “defectiveness” of the products prohibits any compensation for the victims of adverse </w:t>
      </w:r>
      <w:r>
        <w:rPr>
          <w:rFonts w:asciiTheme="minorHAnsi" w:eastAsia="Times New Roman" w:hAnsiTheme="minorHAnsi" w:cstheme="minorHAnsi"/>
          <w:color w:val="222222"/>
          <w:sz w:val="22"/>
          <w:szCs w:val="22"/>
          <w:lang w:val="en-US"/>
        </w:rPr>
        <w:t>drug reactions</w:t>
      </w:r>
      <w:r w:rsidR="0031109E" w:rsidRPr="0031109E">
        <w:rPr>
          <w:rFonts w:asciiTheme="minorHAnsi" w:eastAsia="Times New Roman" w:hAnsiTheme="minorHAnsi" w:cstheme="minorHAnsi"/>
          <w:color w:val="222222"/>
          <w:sz w:val="22"/>
          <w:szCs w:val="22"/>
          <w:lang w:val="en-US"/>
        </w:rPr>
        <w:t xml:space="preserve"> when the risk is mentioned in the </w:t>
      </w:r>
      <w:r>
        <w:rPr>
          <w:rFonts w:asciiTheme="minorHAnsi" w:eastAsia="Times New Roman" w:hAnsiTheme="minorHAnsi" w:cstheme="minorHAnsi"/>
          <w:color w:val="222222"/>
          <w:sz w:val="22"/>
          <w:szCs w:val="22"/>
          <w:lang w:val="en-US"/>
        </w:rPr>
        <w:t xml:space="preserve">patient </w:t>
      </w:r>
      <w:r w:rsidR="0031109E" w:rsidRPr="0031109E">
        <w:rPr>
          <w:rFonts w:asciiTheme="minorHAnsi" w:eastAsia="Times New Roman" w:hAnsiTheme="minorHAnsi" w:cstheme="minorHAnsi"/>
          <w:color w:val="222222"/>
          <w:sz w:val="22"/>
          <w:szCs w:val="22"/>
          <w:lang w:val="en-US"/>
        </w:rPr>
        <w:t xml:space="preserve">leaflet. However, such a warning should not </w:t>
      </w:r>
      <w:r>
        <w:rPr>
          <w:rFonts w:asciiTheme="minorHAnsi" w:eastAsia="Times New Roman" w:hAnsiTheme="minorHAnsi" w:cstheme="minorHAnsi"/>
          <w:color w:val="222222"/>
          <w:sz w:val="22"/>
          <w:szCs w:val="22"/>
          <w:lang w:val="en-US"/>
        </w:rPr>
        <w:t>exempt</w:t>
      </w:r>
      <w:r w:rsidR="0031109E" w:rsidRPr="0031109E">
        <w:rPr>
          <w:rFonts w:asciiTheme="minorHAnsi" w:eastAsia="Times New Roman" w:hAnsiTheme="minorHAnsi" w:cstheme="minorHAnsi"/>
          <w:color w:val="222222"/>
          <w:sz w:val="22"/>
          <w:szCs w:val="22"/>
          <w:lang w:val="en-US"/>
        </w:rPr>
        <w:t xml:space="preserve"> the producer from his</w:t>
      </w:r>
      <w:r>
        <w:rPr>
          <w:rFonts w:asciiTheme="minorHAnsi" w:eastAsia="Times New Roman" w:hAnsiTheme="minorHAnsi" w:cstheme="minorHAnsi"/>
          <w:color w:val="222222"/>
          <w:sz w:val="22"/>
          <w:szCs w:val="22"/>
          <w:lang w:val="en-US"/>
        </w:rPr>
        <w:t>/her</w:t>
      </w:r>
      <w:r w:rsidR="0031109E" w:rsidRPr="0031109E">
        <w:rPr>
          <w:rFonts w:asciiTheme="minorHAnsi" w:eastAsia="Times New Roman" w:hAnsiTheme="minorHAnsi" w:cstheme="minorHAnsi"/>
          <w:color w:val="222222"/>
          <w:sz w:val="22"/>
          <w:szCs w:val="22"/>
          <w:lang w:val="en-US"/>
        </w:rPr>
        <w:t xml:space="preserve"> </w:t>
      </w:r>
      <w:r>
        <w:rPr>
          <w:rFonts w:asciiTheme="minorHAnsi" w:eastAsia="Times New Roman" w:hAnsiTheme="minorHAnsi" w:cstheme="minorHAnsi"/>
          <w:color w:val="222222"/>
          <w:sz w:val="22"/>
          <w:szCs w:val="22"/>
          <w:lang w:val="en-US"/>
        </w:rPr>
        <w:t>liability</w:t>
      </w:r>
      <w:r w:rsidR="0031109E" w:rsidRPr="0031109E">
        <w:rPr>
          <w:rFonts w:asciiTheme="minorHAnsi" w:eastAsia="Times New Roman" w:hAnsiTheme="minorHAnsi" w:cstheme="minorHAnsi"/>
          <w:color w:val="222222"/>
          <w:sz w:val="22"/>
          <w:szCs w:val="22"/>
          <w:lang w:val="en-US"/>
        </w:rPr>
        <w:t xml:space="preserve"> because this information does not allow the patient, who does not know if he will be part of the minority who will develop th</w:t>
      </w:r>
      <w:r>
        <w:rPr>
          <w:rFonts w:asciiTheme="minorHAnsi" w:eastAsia="Times New Roman" w:hAnsiTheme="minorHAnsi" w:cstheme="minorHAnsi"/>
          <w:color w:val="222222"/>
          <w:sz w:val="22"/>
          <w:szCs w:val="22"/>
          <w:lang w:val="en-US"/>
        </w:rPr>
        <w:t>is adverse reaction</w:t>
      </w:r>
      <w:r w:rsidR="0031109E" w:rsidRPr="0031109E">
        <w:rPr>
          <w:rFonts w:asciiTheme="minorHAnsi" w:eastAsia="Times New Roman" w:hAnsiTheme="minorHAnsi" w:cstheme="minorHAnsi"/>
          <w:color w:val="222222"/>
          <w:sz w:val="22"/>
          <w:szCs w:val="22"/>
          <w:lang w:val="en-US"/>
        </w:rPr>
        <w:t xml:space="preserve">, to prevent or </w:t>
      </w:r>
      <w:proofErr w:type="spellStart"/>
      <w:r w:rsidR="0031109E" w:rsidRPr="0031109E">
        <w:rPr>
          <w:rFonts w:asciiTheme="minorHAnsi" w:eastAsia="Times New Roman" w:hAnsiTheme="minorHAnsi" w:cstheme="minorHAnsi"/>
          <w:color w:val="222222"/>
          <w:sz w:val="22"/>
          <w:szCs w:val="22"/>
          <w:lang w:val="en-US"/>
        </w:rPr>
        <w:t>minimi</w:t>
      </w:r>
      <w:r>
        <w:rPr>
          <w:rFonts w:asciiTheme="minorHAnsi" w:eastAsia="Times New Roman" w:hAnsiTheme="minorHAnsi" w:cstheme="minorHAnsi"/>
          <w:color w:val="222222"/>
          <w:sz w:val="22"/>
          <w:szCs w:val="22"/>
          <w:lang w:val="en-US"/>
        </w:rPr>
        <w:t>s</w:t>
      </w:r>
      <w:r w:rsidR="0031109E" w:rsidRPr="0031109E">
        <w:rPr>
          <w:rFonts w:asciiTheme="minorHAnsi" w:eastAsia="Times New Roman" w:hAnsiTheme="minorHAnsi" w:cstheme="minorHAnsi"/>
          <w:color w:val="222222"/>
          <w:sz w:val="22"/>
          <w:szCs w:val="22"/>
          <w:lang w:val="en-US"/>
        </w:rPr>
        <w:t>e</w:t>
      </w:r>
      <w:proofErr w:type="spellEnd"/>
      <w:r w:rsidR="0031109E" w:rsidRPr="0031109E">
        <w:rPr>
          <w:rFonts w:asciiTheme="minorHAnsi" w:eastAsia="Times New Roman" w:hAnsiTheme="minorHAnsi" w:cstheme="minorHAnsi"/>
          <w:color w:val="222222"/>
          <w:sz w:val="22"/>
          <w:szCs w:val="22"/>
          <w:lang w:val="en-US"/>
        </w:rPr>
        <w:t xml:space="preserve"> the risk.</w:t>
      </w:r>
    </w:p>
    <w:p w14:paraId="61813AA9" w14:textId="20F79B56" w:rsidR="00586029" w:rsidRPr="0031109E" w:rsidRDefault="0031109E" w:rsidP="0031109E">
      <w:pPr>
        <w:pStyle w:val="Standard"/>
        <w:shd w:val="clear" w:color="auto" w:fill="FFFFFF"/>
        <w:jc w:val="both"/>
        <w:rPr>
          <w:rFonts w:asciiTheme="minorHAnsi" w:eastAsia="Times New Roman" w:hAnsiTheme="minorHAnsi" w:cstheme="minorHAnsi"/>
          <w:color w:val="222222"/>
          <w:sz w:val="22"/>
          <w:szCs w:val="22"/>
          <w:lang w:val="en-US"/>
        </w:rPr>
      </w:pPr>
      <w:r w:rsidRPr="0031109E">
        <w:rPr>
          <w:rFonts w:asciiTheme="minorHAnsi" w:eastAsia="Times New Roman" w:hAnsiTheme="minorHAnsi" w:cstheme="minorHAnsi"/>
          <w:color w:val="222222"/>
          <w:sz w:val="22"/>
          <w:szCs w:val="22"/>
          <w:lang w:val="en-US"/>
        </w:rPr>
        <w:t xml:space="preserve">We therefore propose that the product be considered defective when the risk is indicated in the </w:t>
      </w:r>
      <w:r w:rsidR="00ED7538">
        <w:rPr>
          <w:rFonts w:asciiTheme="minorHAnsi" w:eastAsia="Times New Roman" w:hAnsiTheme="minorHAnsi" w:cstheme="minorHAnsi"/>
          <w:color w:val="222222"/>
          <w:sz w:val="22"/>
          <w:szCs w:val="22"/>
          <w:lang w:val="en-US"/>
        </w:rPr>
        <w:t xml:space="preserve">patient </w:t>
      </w:r>
      <w:r w:rsidR="00ED7538" w:rsidRPr="0031109E">
        <w:rPr>
          <w:rFonts w:asciiTheme="minorHAnsi" w:eastAsia="Times New Roman" w:hAnsiTheme="minorHAnsi" w:cstheme="minorHAnsi"/>
          <w:color w:val="222222"/>
          <w:sz w:val="22"/>
          <w:szCs w:val="22"/>
          <w:lang w:val="en-US"/>
        </w:rPr>
        <w:t>leaflet</w:t>
      </w:r>
      <w:r w:rsidRPr="0031109E">
        <w:rPr>
          <w:rFonts w:asciiTheme="minorHAnsi" w:eastAsia="Times New Roman" w:hAnsiTheme="minorHAnsi" w:cstheme="minorHAnsi"/>
          <w:color w:val="222222"/>
          <w:sz w:val="22"/>
          <w:szCs w:val="22"/>
          <w:lang w:val="en-US"/>
        </w:rPr>
        <w:t xml:space="preserve">, but it </w:t>
      </w:r>
      <w:r w:rsidR="00ED7538">
        <w:rPr>
          <w:rFonts w:asciiTheme="minorHAnsi" w:eastAsia="Times New Roman" w:hAnsiTheme="minorHAnsi" w:cstheme="minorHAnsi"/>
          <w:color w:val="222222"/>
          <w:sz w:val="22"/>
          <w:szCs w:val="22"/>
          <w:lang w:val="en-US"/>
        </w:rPr>
        <w:t>can</w:t>
      </w:r>
      <w:r w:rsidRPr="0031109E">
        <w:rPr>
          <w:rFonts w:asciiTheme="minorHAnsi" w:eastAsia="Times New Roman" w:hAnsiTheme="minorHAnsi" w:cstheme="minorHAnsi"/>
          <w:color w:val="222222"/>
          <w:sz w:val="22"/>
          <w:szCs w:val="22"/>
          <w:lang w:val="en-US"/>
        </w:rPr>
        <w:t xml:space="preserve">not </w:t>
      </w:r>
      <w:r w:rsidR="00ED7538">
        <w:rPr>
          <w:rFonts w:asciiTheme="minorHAnsi" w:eastAsia="Times New Roman" w:hAnsiTheme="minorHAnsi" w:cstheme="minorHAnsi"/>
          <w:color w:val="222222"/>
          <w:sz w:val="22"/>
          <w:szCs w:val="22"/>
          <w:lang w:val="en-US"/>
        </w:rPr>
        <w:t xml:space="preserve">be </w:t>
      </w:r>
      <w:r w:rsidRPr="0031109E">
        <w:rPr>
          <w:rFonts w:asciiTheme="minorHAnsi" w:eastAsia="Times New Roman" w:hAnsiTheme="minorHAnsi" w:cstheme="minorHAnsi"/>
          <w:color w:val="222222"/>
          <w:sz w:val="22"/>
          <w:szCs w:val="22"/>
          <w:lang w:val="en-US"/>
        </w:rPr>
        <w:t>avoid</w:t>
      </w:r>
      <w:r w:rsidR="00ED7538">
        <w:rPr>
          <w:rFonts w:asciiTheme="minorHAnsi" w:eastAsia="Times New Roman" w:hAnsiTheme="minorHAnsi" w:cstheme="minorHAnsi"/>
          <w:color w:val="222222"/>
          <w:sz w:val="22"/>
          <w:szCs w:val="22"/>
          <w:lang w:val="en-US"/>
        </w:rPr>
        <w:t>ed</w:t>
      </w:r>
      <w:r w:rsidRPr="0031109E">
        <w:rPr>
          <w:rFonts w:asciiTheme="minorHAnsi" w:eastAsia="Times New Roman" w:hAnsiTheme="minorHAnsi" w:cstheme="minorHAnsi"/>
          <w:color w:val="222222"/>
          <w:sz w:val="22"/>
          <w:szCs w:val="22"/>
          <w:lang w:val="en-US"/>
        </w:rPr>
        <w:t xml:space="preserve"> by the patient or the consumer.</w:t>
      </w:r>
    </w:p>
    <w:p w14:paraId="35B457F6" w14:textId="77777777" w:rsidR="00586029" w:rsidRPr="0031109E" w:rsidRDefault="00586029" w:rsidP="00586029">
      <w:pPr>
        <w:pStyle w:val="Standard"/>
        <w:shd w:val="clear" w:color="auto" w:fill="FFFFFF"/>
        <w:jc w:val="both"/>
        <w:rPr>
          <w:rFonts w:asciiTheme="minorHAnsi" w:eastAsia="Times New Roman" w:hAnsiTheme="minorHAnsi" w:cstheme="minorHAnsi"/>
          <w:b/>
          <w:bCs/>
          <w:color w:val="222222"/>
          <w:sz w:val="22"/>
          <w:szCs w:val="22"/>
          <w:lang w:val="en-US"/>
        </w:rPr>
      </w:pPr>
    </w:p>
    <w:tbl>
      <w:tblPr>
        <w:tblStyle w:val="Grilledutableau"/>
        <w:tblW w:w="0" w:type="auto"/>
        <w:tblLook w:val="04A0" w:firstRow="1" w:lastRow="0" w:firstColumn="1" w:lastColumn="0" w:noHBand="0" w:noVBand="1"/>
      </w:tblPr>
      <w:tblGrid>
        <w:gridCol w:w="4531"/>
        <w:gridCol w:w="4531"/>
      </w:tblGrid>
      <w:tr w:rsidR="005E22D3" w:rsidRPr="008B65C6" w14:paraId="7E44CEAC" w14:textId="77777777" w:rsidTr="005E22D3">
        <w:tc>
          <w:tcPr>
            <w:tcW w:w="4531" w:type="dxa"/>
          </w:tcPr>
          <w:p w14:paraId="629F47CA" w14:textId="77777777" w:rsidR="005E22D3" w:rsidRPr="0031109E" w:rsidRDefault="005E22D3" w:rsidP="00586029">
            <w:pPr>
              <w:pStyle w:val="Standard"/>
              <w:jc w:val="both"/>
              <w:rPr>
                <w:rFonts w:asciiTheme="minorHAnsi" w:hAnsiTheme="minorHAnsi" w:cstheme="minorHAnsi"/>
                <w:b/>
                <w:bCs/>
                <w:sz w:val="22"/>
                <w:szCs w:val="22"/>
                <w:lang w:val="en-US"/>
              </w:rPr>
            </w:pPr>
            <w:r w:rsidRPr="0031109E">
              <w:rPr>
                <w:rFonts w:asciiTheme="minorHAnsi" w:hAnsiTheme="minorHAnsi" w:cstheme="minorHAnsi"/>
                <w:b/>
                <w:bCs/>
                <w:sz w:val="22"/>
                <w:szCs w:val="22"/>
                <w:lang w:val="en-US"/>
              </w:rPr>
              <w:t xml:space="preserve">Article 6 </w:t>
            </w:r>
          </w:p>
          <w:p w14:paraId="1391FEE8" w14:textId="77777777" w:rsidR="005E22D3" w:rsidRPr="008B65C6" w:rsidRDefault="005E22D3" w:rsidP="00586029">
            <w:pPr>
              <w:pStyle w:val="Standard"/>
              <w:jc w:val="both"/>
              <w:rPr>
                <w:rFonts w:asciiTheme="minorHAnsi" w:hAnsiTheme="minorHAnsi" w:cstheme="minorHAnsi"/>
                <w:sz w:val="22"/>
                <w:szCs w:val="22"/>
                <w:lang w:val="en-US"/>
              </w:rPr>
            </w:pPr>
            <w:r w:rsidRPr="008B65C6">
              <w:rPr>
                <w:rFonts w:asciiTheme="minorHAnsi" w:hAnsiTheme="minorHAnsi" w:cstheme="minorHAnsi"/>
                <w:sz w:val="22"/>
                <w:szCs w:val="22"/>
                <w:lang w:val="en-US"/>
              </w:rPr>
              <w:t xml:space="preserve">Defectiveness </w:t>
            </w:r>
          </w:p>
          <w:p w14:paraId="04775020" w14:textId="704989A1" w:rsidR="005E22D3" w:rsidRPr="008B65C6" w:rsidRDefault="005E22D3" w:rsidP="00E532AA">
            <w:pPr>
              <w:pStyle w:val="Standard"/>
              <w:numPr>
                <w:ilvl w:val="0"/>
                <w:numId w:val="3"/>
              </w:numPr>
              <w:jc w:val="both"/>
              <w:rPr>
                <w:rFonts w:asciiTheme="minorHAnsi" w:hAnsiTheme="minorHAnsi" w:cstheme="minorHAnsi"/>
                <w:sz w:val="22"/>
                <w:szCs w:val="22"/>
                <w:lang w:val="en-US"/>
              </w:rPr>
            </w:pPr>
            <w:r w:rsidRPr="008B65C6">
              <w:rPr>
                <w:rFonts w:asciiTheme="minorHAnsi" w:hAnsiTheme="minorHAnsi" w:cstheme="minorHAnsi"/>
                <w:sz w:val="22"/>
                <w:szCs w:val="22"/>
                <w:lang w:val="en-US"/>
              </w:rPr>
              <w:t>A product shall be considered defective when it does not provide the safety which the public at large is entitled to expect, taking all circumstances into account, including the following:</w:t>
            </w:r>
          </w:p>
          <w:p w14:paraId="374E533D" w14:textId="074AFF25" w:rsidR="00E532AA" w:rsidRPr="008B65C6" w:rsidRDefault="00E532AA" w:rsidP="00E532AA">
            <w:pPr>
              <w:pStyle w:val="Point1"/>
              <w:rPr>
                <w:rFonts w:asciiTheme="minorHAnsi" w:hAnsiTheme="minorHAnsi" w:cstheme="minorHAnsi"/>
                <w:noProof/>
                <w:sz w:val="22"/>
                <w:lang w:val="en-US"/>
              </w:rPr>
            </w:pPr>
            <w:r w:rsidRPr="008B65C6">
              <w:rPr>
                <w:rFonts w:asciiTheme="minorHAnsi" w:hAnsiTheme="minorHAnsi" w:cstheme="minorHAnsi"/>
                <w:noProof/>
                <w:sz w:val="22"/>
                <w:lang w:val="en-US"/>
              </w:rPr>
              <w:t>a)</w:t>
            </w:r>
            <w:r w:rsidRPr="008B65C6">
              <w:rPr>
                <w:rFonts w:asciiTheme="minorHAnsi" w:hAnsiTheme="minorHAnsi" w:cstheme="minorHAnsi"/>
                <w:noProof/>
                <w:sz w:val="22"/>
                <w:lang w:val="en-US"/>
              </w:rPr>
              <w:tab/>
            </w:r>
            <w:r w:rsidR="007E070B" w:rsidRPr="008B65C6">
              <w:rPr>
                <w:rFonts w:asciiTheme="minorHAnsi" w:hAnsiTheme="minorHAnsi" w:cstheme="minorHAnsi"/>
                <w:noProof/>
                <w:sz w:val="22"/>
                <w:lang w:val="en-IE"/>
              </w:rPr>
              <w:t>the presentation of the product, including the instructions for installation, use and maintenance</w:t>
            </w:r>
            <w:r w:rsidRPr="008B65C6">
              <w:rPr>
                <w:rFonts w:asciiTheme="minorHAnsi" w:hAnsiTheme="minorHAnsi" w:cstheme="minorHAnsi"/>
                <w:noProof/>
                <w:sz w:val="22"/>
                <w:lang w:val="en-US"/>
              </w:rPr>
              <w:t>;</w:t>
            </w:r>
          </w:p>
          <w:p w14:paraId="62ECBAAF" w14:textId="0A2D3C84" w:rsidR="00E532AA" w:rsidRPr="008B65C6" w:rsidRDefault="00E532AA" w:rsidP="00E532AA">
            <w:pPr>
              <w:pStyle w:val="Standard"/>
              <w:jc w:val="both"/>
              <w:rPr>
                <w:rFonts w:asciiTheme="minorHAnsi" w:eastAsia="Times New Roman" w:hAnsiTheme="minorHAnsi" w:cstheme="minorHAnsi"/>
                <w:b/>
                <w:bCs/>
                <w:color w:val="222222"/>
                <w:sz w:val="22"/>
                <w:szCs w:val="22"/>
                <w:lang w:val="en-US"/>
              </w:rPr>
            </w:pPr>
          </w:p>
        </w:tc>
        <w:tc>
          <w:tcPr>
            <w:tcW w:w="4531" w:type="dxa"/>
          </w:tcPr>
          <w:p w14:paraId="4F6949E1" w14:textId="77777777" w:rsidR="00E532AA" w:rsidRPr="0031109E" w:rsidRDefault="00E532AA" w:rsidP="00E532AA">
            <w:pPr>
              <w:pStyle w:val="Standard"/>
              <w:jc w:val="both"/>
              <w:rPr>
                <w:rFonts w:asciiTheme="minorHAnsi" w:hAnsiTheme="minorHAnsi" w:cstheme="minorHAnsi"/>
                <w:b/>
                <w:bCs/>
                <w:sz w:val="22"/>
                <w:szCs w:val="22"/>
                <w:lang w:val="en-US"/>
              </w:rPr>
            </w:pPr>
            <w:r w:rsidRPr="0031109E">
              <w:rPr>
                <w:rFonts w:asciiTheme="minorHAnsi" w:hAnsiTheme="minorHAnsi" w:cstheme="minorHAnsi"/>
                <w:b/>
                <w:bCs/>
                <w:sz w:val="22"/>
                <w:szCs w:val="22"/>
                <w:lang w:val="en-US"/>
              </w:rPr>
              <w:t xml:space="preserve">Article 6 </w:t>
            </w:r>
          </w:p>
          <w:p w14:paraId="15440DBD" w14:textId="77777777" w:rsidR="00E532AA" w:rsidRPr="008B65C6" w:rsidRDefault="00E532AA" w:rsidP="00E532AA">
            <w:pPr>
              <w:pStyle w:val="Standard"/>
              <w:jc w:val="both"/>
              <w:rPr>
                <w:rFonts w:asciiTheme="minorHAnsi" w:hAnsiTheme="minorHAnsi" w:cstheme="minorHAnsi"/>
                <w:sz w:val="22"/>
                <w:szCs w:val="22"/>
                <w:lang w:val="en-US"/>
              </w:rPr>
            </w:pPr>
            <w:r w:rsidRPr="008B65C6">
              <w:rPr>
                <w:rFonts w:asciiTheme="minorHAnsi" w:hAnsiTheme="minorHAnsi" w:cstheme="minorHAnsi"/>
                <w:sz w:val="22"/>
                <w:szCs w:val="22"/>
                <w:lang w:val="en-US"/>
              </w:rPr>
              <w:t xml:space="preserve">Defectiveness </w:t>
            </w:r>
          </w:p>
          <w:p w14:paraId="6ECFCCB2" w14:textId="77777777" w:rsidR="00E532AA" w:rsidRPr="008B65C6" w:rsidRDefault="00E532AA" w:rsidP="00E532AA">
            <w:pPr>
              <w:pStyle w:val="Standard"/>
              <w:numPr>
                <w:ilvl w:val="0"/>
                <w:numId w:val="4"/>
              </w:numPr>
              <w:jc w:val="both"/>
              <w:rPr>
                <w:rFonts w:asciiTheme="minorHAnsi" w:hAnsiTheme="minorHAnsi" w:cstheme="minorHAnsi"/>
                <w:sz w:val="22"/>
                <w:szCs w:val="22"/>
                <w:lang w:val="en-US"/>
              </w:rPr>
            </w:pPr>
            <w:r w:rsidRPr="008B65C6">
              <w:rPr>
                <w:rFonts w:asciiTheme="minorHAnsi" w:hAnsiTheme="minorHAnsi" w:cstheme="minorHAnsi"/>
                <w:sz w:val="22"/>
                <w:szCs w:val="22"/>
                <w:lang w:val="en-US"/>
              </w:rPr>
              <w:t>A product shall be considered defective when it does not provide the safety which the public at large is entitled to expect, taking all circumstances into account, including the following:</w:t>
            </w:r>
          </w:p>
          <w:p w14:paraId="34ECBBFB" w14:textId="632AEC55" w:rsidR="00E532AA" w:rsidRPr="008B65C6" w:rsidRDefault="00E532AA" w:rsidP="00E532AA">
            <w:pPr>
              <w:pStyle w:val="Point1"/>
              <w:rPr>
                <w:rFonts w:asciiTheme="minorHAnsi" w:hAnsiTheme="minorHAnsi" w:cstheme="minorHAnsi"/>
                <w:noProof/>
                <w:sz w:val="22"/>
                <w:lang w:val="en-US"/>
              </w:rPr>
            </w:pPr>
            <w:r w:rsidRPr="008B65C6">
              <w:rPr>
                <w:rFonts w:asciiTheme="minorHAnsi" w:hAnsiTheme="minorHAnsi" w:cstheme="minorHAnsi"/>
                <w:noProof/>
                <w:sz w:val="22"/>
                <w:lang w:val="en-US"/>
              </w:rPr>
              <w:t>a)</w:t>
            </w:r>
            <w:r w:rsidRPr="008B65C6">
              <w:rPr>
                <w:rFonts w:asciiTheme="minorHAnsi" w:hAnsiTheme="minorHAnsi" w:cstheme="minorHAnsi"/>
                <w:noProof/>
                <w:sz w:val="22"/>
                <w:lang w:val="en-US"/>
              </w:rPr>
              <w:tab/>
            </w:r>
            <w:r w:rsidR="007E070B" w:rsidRPr="008B65C6">
              <w:rPr>
                <w:rFonts w:asciiTheme="minorHAnsi" w:hAnsiTheme="minorHAnsi" w:cstheme="minorHAnsi"/>
                <w:noProof/>
                <w:sz w:val="22"/>
                <w:lang w:val="en-IE"/>
              </w:rPr>
              <w:t>the presentation of the product, including the instructions for installation, use and maintenance</w:t>
            </w:r>
            <w:r w:rsidR="00220620" w:rsidRPr="00142D50">
              <w:rPr>
                <w:rFonts w:asciiTheme="minorHAnsi" w:hAnsiTheme="minorHAnsi" w:cstheme="minorHAnsi"/>
                <w:noProof/>
                <w:sz w:val="22"/>
                <w:lang w:val="en-US"/>
              </w:rPr>
              <w:t xml:space="preserve">, </w:t>
            </w:r>
            <w:r w:rsidR="00220620" w:rsidRPr="00142D50">
              <w:rPr>
                <w:rFonts w:asciiTheme="minorHAnsi" w:hAnsiTheme="minorHAnsi" w:cstheme="minorHAnsi"/>
                <w:b/>
                <w:i/>
                <w:noProof/>
                <w:sz w:val="22"/>
                <w:lang w:val="en-US"/>
              </w:rPr>
              <w:t>when they do not contribute to the eviction of the damage</w:t>
            </w:r>
            <w:r w:rsidRPr="00142D50">
              <w:rPr>
                <w:rFonts w:asciiTheme="minorHAnsi" w:hAnsiTheme="minorHAnsi" w:cstheme="minorHAnsi"/>
                <w:b/>
                <w:i/>
                <w:noProof/>
                <w:sz w:val="22"/>
                <w:lang w:val="en-US"/>
              </w:rPr>
              <w:t>;</w:t>
            </w:r>
          </w:p>
          <w:p w14:paraId="2EC2B274" w14:textId="77777777" w:rsidR="005E22D3" w:rsidRPr="008B65C6" w:rsidRDefault="005E22D3" w:rsidP="00586029">
            <w:pPr>
              <w:pStyle w:val="Standard"/>
              <w:jc w:val="both"/>
              <w:rPr>
                <w:rFonts w:asciiTheme="minorHAnsi" w:eastAsia="Times New Roman" w:hAnsiTheme="minorHAnsi" w:cstheme="minorHAnsi"/>
                <w:b/>
                <w:bCs/>
                <w:color w:val="222222"/>
                <w:sz w:val="22"/>
                <w:szCs w:val="22"/>
                <w:lang w:val="en-US"/>
              </w:rPr>
            </w:pPr>
          </w:p>
        </w:tc>
      </w:tr>
      <w:tr w:rsidR="005E22D3" w:rsidRPr="008B65C6" w14:paraId="14DCD3C0" w14:textId="77777777" w:rsidTr="005E22D3">
        <w:tc>
          <w:tcPr>
            <w:tcW w:w="4531" w:type="dxa"/>
          </w:tcPr>
          <w:p w14:paraId="30B9A814" w14:textId="77777777" w:rsidR="005E22D3" w:rsidRPr="00142D50" w:rsidRDefault="005E22D3" w:rsidP="00586029">
            <w:pPr>
              <w:pStyle w:val="Standard"/>
              <w:jc w:val="both"/>
              <w:rPr>
                <w:rFonts w:asciiTheme="minorHAnsi" w:eastAsia="Times New Roman" w:hAnsiTheme="minorHAnsi" w:cstheme="minorHAnsi"/>
                <w:b/>
                <w:bCs/>
                <w:color w:val="222222"/>
                <w:sz w:val="22"/>
                <w:szCs w:val="22"/>
                <w:highlight w:val="lightGray"/>
                <w:lang w:val="en-US"/>
              </w:rPr>
            </w:pPr>
          </w:p>
        </w:tc>
        <w:tc>
          <w:tcPr>
            <w:tcW w:w="4531" w:type="dxa"/>
          </w:tcPr>
          <w:p w14:paraId="5A55007A" w14:textId="4EACAE53" w:rsidR="00600AC3" w:rsidRPr="00142D50" w:rsidRDefault="007E070B" w:rsidP="00586029">
            <w:pPr>
              <w:pStyle w:val="Standard"/>
              <w:jc w:val="both"/>
              <w:rPr>
                <w:rFonts w:asciiTheme="minorHAnsi" w:eastAsia="Times New Roman" w:hAnsiTheme="minorHAnsi" w:cstheme="minorHAnsi"/>
                <w:b/>
                <w:bCs/>
                <w:color w:val="222222"/>
                <w:sz w:val="22"/>
                <w:szCs w:val="22"/>
                <w:highlight w:val="lightGray"/>
                <w:lang w:val="en-US"/>
              </w:rPr>
            </w:pPr>
            <w:r w:rsidRPr="00142D50">
              <w:rPr>
                <w:rFonts w:asciiTheme="minorHAnsi" w:eastAsia="Times New Roman" w:hAnsiTheme="minorHAnsi" w:cstheme="minorHAnsi"/>
                <w:b/>
                <w:bCs/>
                <w:color w:val="222222"/>
                <w:sz w:val="22"/>
                <w:szCs w:val="22"/>
                <w:highlight w:val="lightGray"/>
                <w:lang w:val="en-US"/>
              </w:rPr>
              <w:t xml:space="preserve"> </w:t>
            </w:r>
            <w:r w:rsidR="00142D50" w:rsidRPr="00142D50">
              <w:rPr>
                <w:rFonts w:asciiTheme="minorHAnsi" w:eastAsia="Times New Roman" w:hAnsiTheme="minorHAnsi" w:cstheme="minorHAnsi"/>
                <w:b/>
                <w:bCs/>
                <w:color w:val="222222"/>
                <w:sz w:val="22"/>
                <w:szCs w:val="22"/>
                <w:highlight w:val="lightGray"/>
                <w:lang w:val="en-US"/>
              </w:rPr>
              <w:t>ALTERNATIVE PROPOSAL:</w:t>
            </w:r>
            <w:r w:rsidRPr="00142D50">
              <w:rPr>
                <w:rFonts w:asciiTheme="minorHAnsi" w:eastAsia="Times New Roman" w:hAnsiTheme="minorHAnsi" w:cstheme="minorHAnsi"/>
                <w:b/>
                <w:bCs/>
                <w:color w:val="222222"/>
                <w:sz w:val="22"/>
                <w:szCs w:val="22"/>
                <w:highlight w:val="lightGray"/>
                <w:lang w:val="en-US"/>
              </w:rPr>
              <w:t xml:space="preserve"> </w:t>
            </w:r>
            <w:r w:rsidR="005E22D3" w:rsidRPr="00142D50">
              <w:rPr>
                <w:rFonts w:asciiTheme="minorHAnsi" w:eastAsia="Times New Roman" w:hAnsiTheme="minorHAnsi" w:cstheme="minorHAnsi"/>
                <w:b/>
                <w:bCs/>
                <w:color w:val="222222"/>
                <w:sz w:val="22"/>
                <w:szCs w:val="22"/>
                <w:highlight w:val="lightGray"/>
                <w:lang w:val="en-US"/>
              </w:rPr>
              <w:t>New</w:t>
            </w:r>
            <w:r w:rsidR="00600AC3" w:rsidRPr="00142D50">
              <w:rPr>
                <w:rFonts w:asciiTheme="minorHAnsi" w:eastAsia="Times New Roman" w:hAnsiTheme="minorHAnsi" w:cstheme="minorHAnsi"/>
                <w:b/>
                <w:bCs/>
                <w:color w:val="222222"/>
                <w:sz w:val="22"/>
                <w:szCs w:val="22"/>
                <w:highlight w:val="lightGray"/>
                <w:lang w:val="en-US"/>
              </w:rPr>
              <w:t xml:space="preserve"> article</w:t>
            </w:r>
            <w:r w:rsidR="00A95E1E" w:rsidRPr="00142D50">
              <w:rPr>
                <w:rFonts w:asciiTheme="minorHAnsi" w:eastAsia="Times New Roman" w:hAnsiTheme="minorHAnsi" w:cstheme="minorHAnsi"/>
                <w:b/>
                <w:bCs/>
                <w:color w:val="222222"/>
                <w:sz w:val="22"/>
                <w:szCs w:val="22"/>
                <w:highlight w:val="lightGray"/>
                <w:lang w:val="en-US"/>
              </w:rPr>
              <w:t xml:space="preserve"> </w:t>
            </w:r>
          </w:p>
          <w:p w14:paraId="4EC690D2" w14:textId="77777777" w:rsidR="00A95E1E" w:rsidRPr="00142D50" w:rsidRDefault="00A95E1E" w:rsidP="00586029">
            <w:pPr>
              <w:pStyle w:val="Standard"/>
              <w:jc w:val="both"/>
              <w:rPr>
                <w:rFonts w:asciiTheme="minorHAnsi" w:eastAsia="Times New Roman" w:hAnsiTheme="minorHAnsi" w:cstheme="minorHAnsi"/>
                <w:b/>
                <w:bCs/>
                <w:color w:val="222222"/>
                <w:sz w:val="22"/>
                <w:szCs w:val="22"/>
                <w:highlight w:val="lightGray"/>
                <w:lang w:val="en-US"/>
              </w:rPr>
            </w:pPr>
          </w:p>
          <w:p w14:paraId="7160424F" w14:textId="48E6DD93" w:rsidR="005E22D3" w:rsidRPr="00142D50" w:rsidRDefault="00A95E1E" w:rsidP="00A95E1E">
            <w:pPr>
              <w:pStyle w:val="Standard"/>
              <w:numPr>
                <w:ilvl w:val="0"/>
                <w:numId w:val="1"/>
              </w:numPr>
              <w:jc w:val="both"/>
              <w:rPr>
                <w:rFonts w:asciiTheme="minorHAnsi" w:eastAsia="Times New Roman" w:hAnsiTheme="minorHAnsi" w:cstheme="minorHAnsi"/>
                <w:b/>
                <w:bCs/>
                <w:color w:val="222222"/>
                <w:sz w:val="22"/>
                <w:szCs w:val="22"/>
                <w:highlight w:val="lightGray"/>
                <w:lang w:val="en-US"/>
              </w:rPr>
            </w:pPr>
            <w:r w:rsidRPr="00142D50">
              <w:rPr>
                <w:rFonts w:asciiTheme="minorHAnsi" w:eastAsia="Times New Roman" w:hAnsiTheme="minorHAnsi" w:cstheme="minorHAnsi"/>
                <w:b/>
                <w:bCs/>
                <w:color w:val="222222"/>
                <w:sz w:val="22"/>
                <w:szCs w:val="22"/>
                <w:highlight w:val="lightGray"/>
                <w:lang w:val="en-US"/>
              </w:rPr>
              <w:t>r</w:t>
            </w:r>
            <w:r w:rsidR="005002D6" w:rsidRPr="00142D50">
              <w:rPr>
                <w:rFonts w:asciiTheme="minorHAnsi" w:eastAsia="Times New Roman" w:hAnsiTheme="minorHAnsi" w:cstheme="minorHAnsi"/>
                <w:b/>
                <w:bCs/>
                <w:i/>
                <w:color w:val="222222"/>
                <w:sz w:val="22"/>
                <w:szCs w:val="22"/>
                <w:highlight w:val="lightGray"/>
                <w:lang w:val="en-US"/>
              </w:rPr>
              <w:t>isks of serious</w:t>
            </w:r>
            <w:r w:rsidR="005E22D3" w:rsidRPr="00142D50">
              <w:rPr>
                <w:rFonts w:asciiTheme="minorHAnsi" w:eastAsia="Times New Roman" w:hAnsiTheme="minorHAnsi" w:cstheme="minorHAnsi"/>
                <w:b/>
                <w:bCs/>
                <w:i/>
                <w:color w:val="222222"/>
                <w:sz w:val="22"/>
                <w:szCs w:val="22"/>
                <w:highlight w:val="lightGray"/>
                <w:lang w:val="en-US"/>
              </w:rPr>
              <w:t xml:space="preserve"> adverse </w:t>
            </w:r>
            <w:r w:rsidR="007E070B" w:rsidRPr="00142D50">
              <w:rPr>
                <w:rFonts w:asciiTheme="minorHAnsi" w:eastAsia="Times New Roman" w:hAnsiTheme="minorHAnsi" w:cstheme="minorHAnsi"/>
                <w:b/>
                <w:bCs/>
                <w:i/>
                <w:color w:val="222222"/>
                <w:sz w:val="22"/>
                <w:szCs w:val="22"/>
                <w:highlight w:val="lightGray"/>
                <w:lang w:val="en-US"/>
              </w:rPr>
              <w:t>effects of m</w:t>
            </w:r>
            <w:r w:rsidR="00600AC3" w:rsidRPr="00142D50">
              <w:rPr>
                <w:rFonts w:asciiTheme="minorHAnsi" w:eastAsia="Times New Roman" w:hAnsiTheme="minorHAnsi" w:cstheme="minorHAnsi"/>
                <w:b/>
                <w:bCs/>
                <w:i/>
                <w:color w:val="222222"/>
                <w:sz w:val="22"/>
                <w:szCs w:val="22"/>
                <w:highlight w:val="lightGray"/>
                <w:lang w:val="en-US"/>
              </w:rPr>
              <w:t xml:space="preserve">edicinal products </w:t>
            </w:r>
            <w:r w:rsidR="005E22D3" w:rsidRPr="00142D50">
              <w:rPr>
                <w:rFonts w:asciiTheme="minorHAnsi" w:eastAsia="Times New Roman" w:hAnsiTheme="minorHAnsi" w:cstheme="minorHAnsi"/>
                <w:b/>
                <w:bCs/>
                <w:i/>
                <w:color w:val="222222"/>
                <w:sz w:val="22"/>
                <w:szCs w:val="22"/>
                <w:highlight w:val="lightGray"/>
                <w:lang w:val="en-US"/>
              </w:rPr>
              <w:t xml:space="preserve">listed in the patient leaflet without </w:t>
            </w:r>
            <w:r w:rsidR="005002D6" w:rsidRPr="00142D50">
              <w:rPr>
                <w:rFonts w:asciiTheme="minorHAnsi" w:eastAsia="Times New Roman" w:hAnsiTheme="minorHAnsi" w:cstheme="minorHAnsi"/>
                <w:b/>
                <w:bCs/>
                <w:i/>
                <w:color w:val="222222"/>
                <w:sz w:val="22"/>
                <w:szCs w:val="22"/>
                <w:highlight w:val="lightGray"/>
                <w:lang w:val="en-US"/>
              </w:rPr>
              <w:t>the</w:t>
            </w:r>
            <w:r w:rsidR="005E22D3" w:rsidRPr="00142D50">
              <w:rPr>
                <w:rFonts w:asciiTheme="minorHAnsi" w:eastAsia="Times New Roman" w:hAnsiTheme="minorHAnsi" w:cstheme="minorHAnsi"/>
                <w:b/>
                <w:bCs/>
                <w:i/>
                <w:color w:val="222222"/>
                <w:sz w:val="22"/>
                <w:szCs w:val="22"/>
                <w:highlight w:val="lightGray"/>
                <w:lang w:val="en-US"/>
              </w:rPr>
              <w:t xml:space="preserve"> possibility for the patient</w:t>
            </w:r>
            <w:r w:rsidR="00833105" w:rsidRPr="00142D50">
              <w:rPr>
                <w:rFonts w:asciiTheme="minorHAnsi" w:eastAsia="Times New Roman" w:hAnsiTheme="minorHAnsi" w:cstheme="minorHAnsi"/>
                <w:b/>
                <w:bCs/>
                <w:i/>
                <w:color w:val="222222"/>
                <w:sz w:val="22"/>
                <w:szCs w:val="22"/>
                <w:highlight w:val="lightGray"/>
                <w:lang w:val="en-US"/>
              </w:rPr>
              <w:t xml:space="preserve"> to know in advance</w:t>
            </w:r>
            <w:r w:rsidR="005E22D3" w:rsidRPr="00142D50">
              <w:rPr>
                <w:rFonts w:asciiTheme="minorHAnsi" w:eastAsia="Times New Roman" w:hAnsiTheme="minorHAnsi" w:cstheme="minorHAnsi"/>
                <w:b/>
                <w:bCs/>
                <w:i/>
                <w:color w:val="222222"/>
                <w:sz w:val="22"/>
                <w:szCs w:val="22"/>
                <w:highlight w:val="lightGray"/>
                <w:lang w:val="en-US"/>
              </w:rPr>
              <w:t xml:space="preserve"> </w:t>
            </w:r>
            <w:r w:rsidR="00833105" w:rsidRPr="00142D50">
              <w:rPr>
                <w:rFonts w:asciiTheme="minorHAnsi" w:eastAsia="Times New Roman" w:hAnsiTheme="minorHAnsi" w:cstheme="minorHAnsi"/>
                <w:b/>
                <w:bCs/>
                <w:i/>
                <w:color w:val="222222"/>
                <w:sz w:val="22"/>
                <w:szCs w:val="22"/>
                <w:highlight w:val="lightGray"/>
                <w:lang w:val="en-US"/>
              </w:rPr>
              <w:t>whether</w:t>
            </w:r>
            <w:r w:rsidR="005E22D3" w:rsidRPr="00142D50">
              <w:rPr>
                <w:rFonts w:asciiTheme="minorHAnsi" w:eastAsia="Times New Roman" w:hAnsiTheme="minorHAnsi" w:cstheme="minorHAnsi"/>
                <w:b/>
                <w:bCs/>
                <w:i/>
                <w:color w:val="222222"/>
                <w:sz w:val="22"/>
                <w:szCs w:val="22"/>
                <w:highlight w:val="lightGray"/>
                <w:lang w:val="en-US"/>
              </w:rPr>
              <w:t xml:space="preserve"> he</w:t>
            </w:r>
            <w:r w:rsidR="00600AC3" w:rsidRPr="00142D50">
              <w:rPr>
                <w:rFonts w:asciiTheme="minorHAnsi" w:eastAsia="Times New Roman" w:hAnsiTheme="minorHAnsi" w:cstheme="minorHAnsi"/>
                <w:b/>
                <w:bCs/>
                <w:i/>
                <w:color w:val="222222"/>
                <w:sz w:val="22"/>
                <w:szCs w:val="22"/>
                <w:highlight w:val="lightGray"/>
                <w:lang w:val="en-US"/>
              </w:rPr>
              <w:t>/she</w:t>
            </w:r>
            <w:r w:rsidR="005E22D3" w:rsidRPr="00142D50">
              <w:rPr>
                <w:rFonts w:asciiTheme="minorHAnsi" w:eastAsia="Times New Roman" w:hAnsiTheme="minorHAnsi" w:cstheme="minorHAnsi"/>
                <w:b/>
                <w:bCs/>
                <w:i/>
                <w:color w:val="222222"/>
                <w:sz w:val="22"/>
                <w:szCs w:val="22"/>
                <w:highlight w:val="lightGray"/>
                <w:lang w:val="en-US"/>
              </w:rPr>
              <w:t xml:space="preserve"> will </w:t>
            </w:r>
            <w:r w:rsidR="000E2332" w:rsidRPr="00142D50">
              <w:rPr>
                <w:rFonts w:asciiTheme="minorHAnsi" w:eastAsia="Times New Roman" w:hAnsiTheme="minorHAnsi" w:cstheme="minorHAnsi"/>
                <w:b/>
                <w:bCs/>
                <w:i/>
                <w:color w:val="222222"/>
                <w:sz w:val="22"/>
                <w:szCs w:val="22"/>
                <w:highlight w:val="lightGray"/>
                <w:lang w:val="en-US"/>
              </w:rPr>
              <w:t xml:space="preserve">be </w:t>
            </w:r>
            <w:r w:rsidR="005E22D3" w:rsidRPr="00142D50">
              <w:rPr>
                <w:rFonts w:asciiTheme="minorHAnsi" w:eastAsia="Times New Roman" w:hAnsiTheme="minorHAnsi" w:cstheme="minorHAnsi"/>
                <w:b/>
                <w:bCs/>
                <w:i/>
                <w:color w:val="222222"/>
                <w:sz w:val="22"/>
                <w:szCs w:val="22"/>
                <w:highlight w:val="lightGray"/>
                <w:lang w:val="en-US"/>
              </w:rPr>
              <w:t>affected by these adverse e</w:t>
            </w:r>
            <w:r w:rsidR="00600AC3" w:rsidRPr="00142D50">
              <w:rPr>
                <w:rFonts w:asciiTheme="minorHAnsi" w:eastAsia="Times New Roman" w:hAnsiTheme="minorHAnsi" w:cstheme="minorHAnsi"/>
                <w:b/>
                <w:bCs/>
                <w:i/>
                <w:color w:val="222222"/>
                <w:sz w:val="22"/>
                <w:szCs w:val="22"/>
                <w:highlight w:val="lightGray"/>
                <w:lang w:val="en-US"/>
              </w:rPr>
              <w:t>ffects</w:t>
            </w:r>
            <w:r w:rsidR="00833105" w:rsidRPr="00142D50">
              <w:rPr>
                <w:rFonts w:asciiTheme="minorHAnsi" w:eastAsia="Times New Roman" w:hAnsiTheme="minorHAnsi" w:cstheme="minorHAnsi"/>
                <w:b/>
                <w:bCs/>
                <w:i/>
                <w:color w:val="222222"/>
                <w:sz w:val="22"/>
                <w:szCs w:val="22"/>
                <w:highlight w:val="lightGray"/>
                <w:lang w:val="en-US"/>
              </w:rPr>
              <w:t>.</w:t>
            </w:r>
          </w:p>
        </w:tc>
      </w:tr>
    </w:tbl>
    <w:p w14:paraId="5F8FC610" w14:textId="77777777" w:rsidR="00F41CED" w:rsidRDefault="00F41CED" w:rsidP="00F41CED">
      <w:pPr>
        <w:pStyle w:val="Standard"/>
        <w:shd w:val="clear" w:color="auto" w:fill="FFFFFF"/>
        <w:jc w:val="both"/>
        <w:rPr>
          <w:rFonts w:asciiTheme="minorHAnsi" w:eastAsia="Times New Roman" w:hAnsiTheme="minorHAnsi" w:cstheme="minorHAnsi"/>
          <w:b/>
          <w:bCs/>
          <w:color w:val="222222"/>
          <w:sz w:val="22"/>
          <w:szCs w:val="22"/>
          <w:lang w:val="en-US"/>
        </w:rPr>
      </w:pPr>
    </w:p>
    <w:p w14:paraId="337F2E4B" w14:textId="46BD19B3" w:rsidR="00F41CED" w:rsidRPr="00572AE4" w:rsidRDefault="00F41CED" w:rsidP="00F41CED">
      <w:pPr>
        <w:pStyle w:val="Standard"/>
        <w:shd w:val="clear" w:color="auto" w:fill="FFFFFF"/>
        <w:jc w:val="both"/>
        <w:rPr>
          <w:rFonts w:asciiTheme="minorHAnsi" w:eastAsia="Times New Roman" w:hAnsiTheme="minorHAnsi" w:cstheme="minorHAnsi"/>
          <w:b/>
          <w:bCs/>
          <w:color w:val="222222"/>
          <w:sz w:val="22"/>
          <w:szCs w:val="22"/>
          <w:lang w:val="en-US"/>
        </w:rPr>
      </w:pPr>
      <w:r>
        <w:rPr>
          <w:rFonts w:asciiTheme="minorHAnsi" w:eastAsia="Times New Roman" w:hAnsiTheme="minorHAnsi" w:cstheme="minorHAnsi"/>
          <w:b/>
          <w:bCs/>
          <w:color w:val="222222"/>
          <w:sz w:val="22"/>
          <w:szCs w:val="22"/>
          <w:lang w:val="en-US"/>
        </w:rPr>
        <w:t>T</w:t>
      </w:r>
      <w:r w:rsidRPr="00572AE4">
        <w:rPr>
          <w:rFonts w:asciiTheme="minorHAnsi" w:eastAsia="Times New Roman" w:hAnsiTheme="minorHAnsi" w:cstheme="minorHAnsi"/>
          <w:b/>
          <w:bCs/>
          <w:color w:val="222222"/>
          <w:sz w:val="22"/>
          <w:szCs w:val="22"/>
          <w:lang w:val="en-US"/>
        </w:rPr>
        <w:t xml:space="preserve">he interests of patients and consumers </w:t>
      </w:r>
      <w:r>
        <w:rPr>
          <w:rFonts w:asciiTheme="minorHAnsi" w:eastAsia="Times New Roman" w:hAnsiTheme="minorHAnsi" w:cstheme="minorHAnsi"/>
          <w:b/>
          <w:bCs/>
          <w:color w:val="222222"/>
          <w:sz w:val="22"/>
          <w:szCs w:val="22"/>
          <w:lang w:val="en-US"/>
        </w:rPr>
        <w:t xml:space="preserve">should </w:t>
      </w:r>
      <w:r w:rsidRPr="00572AE4">
        <w:rPr>
          <w:rFonts w:asciiTheme="minorHAnsi" w:eastAsia="Times New Roman" w:hAnsiTheme="minorHAnsi" w:cstheme="minorHAnsi"/>
          <w:b/>
          <w:bCs/>
          <w:color w:val="222222"/>
          <w:sz w:val="22"/>
          <w:szCs w:val="22"/>
          <w:lang w:val="en-US"/>
        </w:rPr>
        <w:t xml:space="preserve">prevail over </w:t>
      </w:r>
      <w:r>
        <w:rPr>
          <w:rFonts w:asciiTheme="minorHAnsi" w:eastAsia="Times New Roman" w:hAnsiTheme="minorHAnsi" w:cstheme="minorHAnsi"/>
          <w:b/>
          <w:bCs/>
          <w:color w:val="222222"/>
          <w:sz w:val="22"/>
          <w:szCs w:val="22"/>
          <w:lang w:val="en-US"/>
        </w:rPr>
        <w:t>trade</w:t>
      </w:r>
      <w:r w:rsidRPr="00572AE4">
        <w:rPr>
          <w:rFonts w:asciiTheme="minorHAnsi" w:eastAsia="Times New Roman" w:hAnsiTheme="minorHAnsi" w:cstheme="minorHAnsi"/>
          <w:b/>
          <w:bCs/>
          <w:color w:val="222222"/>
          <w:sz w:val="22"/>
          <w:szCs w:val="22"/>
          <w:lang w:val="en-US"/>
        </w:rPr>
        <w:t xml:space="preserve"> secre</w:t>
      </w:r>
      <w:r>
        <w:rPr>
          <w:rFonts w:asciiTheme="minorHAnsi" w:eastAsia="Times New Roman" w:hAnsiTheme="minorHAnsi" w:cstheme="minorHAnsi"/>
          <w:b/>
          <w:bCs/>
          <w:color w:val="222222"/>
          <w:sz w:val="22"/>
          <w:szCs w:val="22"/>
          <w:lang w:val="en-US"/>
        </w:rPr>
        <w:t>ts</w:t>
      </w:r>
    </w:p>
    <w:p w14:paraId="311FB230" w14:textId="77777777" w:rsidR="00F41CED" w:rsidRPr="00572AE4" w:rsidRDefault="00F41CED" w:rsidP="00F41CED">
      <w:pPr>
        <w:pStyle w:val="Standard"/>
        <w:shd w:val="clear" w:color="auto" w:fill="FFFFFF"/>
        <w:jc w:val="both"/>
        <w:rPr>
          <w:rFonts w:asciiTheme="minorHAnsi" w:eastAsia="Times New Roman" w:hAnsiTheme="minorHAnsi" w:cstheme="minorHAnsi"/>
          <w:color w:val="222222"/>
          <w:sz w:val="22"/>
          <w:szCs w:val="22"/>
          <w:lang w:val="en-US"/>
        </w:rPr>
      </w:pPr>
      <w:r w:rsidRPr="00572AE4">
        <w:rPr>
          <w:rFonts w:asciiTheme="minorHAnsi" w:eastAsia="Times New Roman" w:hAnsiTheme="minorHAnsi" w:cstheme="minorHAnsi"/>
          <w:color w:val="222222"/>
          <w:sz w:val="22"/>
          <w:szCs w:val="22"/>
          <w:lang w:val="en-US"/>
        </w:rPr>
        <w:t>Article 8</w:t>
      </w:r>
      <w:r>
        <w:rPr>
          <w:rFonts w:asciiTheme="minorHAnsi" w:eastAsia="Times New Roman" w:hAnsiTheme="minorHAnsi" w:cstheme="minorHAnsi"/>
          <w:color w:val="222222"/>
          <w:sz w:val="22"/>
          <w:szCs w:val="22"/>
          <w:lang w:val="en-US"/>
        </w:rPr>
        <w:t>, which</w:t>
      </w:r>
      <w:r w:rsidRPr="00572AE4">
        <w:rPr>
          <w:rFonts w:asciiTheme="minorHAnsi" w:eastAsia="Times New Roman" w:hAnsiTheme="minorHAnsi" w:cstheme="minorHAnsi"/>
          <w:color w:val="222222"/>
          <w:sz w:val="22"/>
          <w:szCs w:val="22"/>
          <w:lang w:val="en-US"/>
        </w:rPr>
        <w:t xml:space="preserve"> allows national courts to order the defendant to disclose </w:t>
      </w:r>
      <w:r>
        <w:rPr>
          <w:rFonts w:asciiTheme="minorHAnsi" w:eastAsia="Times New Roman" w:hAnsiTheme="minorHAnsi" w:cstheme="minorHAnsi"/>
          <w:color w:val="222222"/>
          <w:sz w:val="22"/>
          <w:szCs w:val="22"/>
          <w:lang w:val="en-US"/>
        </w:rPr>
        <w:t>relevant</w:t>
      </w:r>
      <w:r w:rsidRPr="00572AE4">
        <w:rPr>
          <w:rFonts w:asciiTheme="minorHAnsi" w:eastAsia="Times New Roman" w:hAnsiTheme="minorHAnsi" w:cstheme="minorHAnsi"/>
          <w:color w:val="222222"/>
          <w:sz w:val="22"/>
          <w:szCs w:val="22"/>
          <w:lang w:val="en-US"/>
        </w:rPr>
        <w:t xml:space="preserve"> evidence available to him, </w:t>
      </w:r>
      <w:r>
        <w:rPr>
          <w:rFonts w:asciiTheme="minorHAnsi" w:eastAsia="Times New Roman" w:hAnsiTheme="minorHAnsi" w:cstheme="minorHAnsi"/>
          <w:color w:val="222222"/>
          <w:sz w:val="22"/>
          <w:szCs w:val="22"/>
          <w:lang w:val="en-US"/>
        </w:rPr>
        <w:t>may</w:t>
      </w:r>
      <w:r w:rsidRPr="00572AE4">
        <w:rPr>
          <w:rFonts w:asciiTheme="minorHAnsi" w:eastAsia="Times New Roman" w:hAnsiTheme="minorHAnsi" w:cstheme="minorHAnsi"/>
          <w:color w:val="222222"/>
          <w:sz w:val="22"/>
          <w:szCs w:val="22"/>
          <w:lang w:val="en-US"/>
        </w:rPr>
        <w:t xml:space="preserve"> help to rebalance the asymmetry of information between the producer and the victim provided the defendant cannot </w:t>
      </w:r>
      <w:r>
        <w:rPr>
          <w:rFonts w:asciiTheme="minorHAnsi" w:eastAsia="Times New Roman" w:hAnsiTheme="minorHAnsi" w:cstheme="minorHAnsi"/>
          <w:color w:val="222222"/>
          <w:sz w:val="22"/>
          <w:szCs w:val="22"/>
          <w:lang w:val="en-US"/>
        </w:rPr>
        <w:t>hide behind</w:t>
      </w:r>
      <w:r w:rsidRPr="00572AE4">
        <w:rPr>
          <w:rFonts w:asciiTheme="minorHAnsi" w:eastAsia="Times New Roman" w:hAnsiTheme="minorHAnsi" w:cstheme="minorHAnsi"/>
          <w:color w:val="222222"/>
          <w:sz w:val="22"/>
          <w:szCs w:val="22"/>
          <w:lang w:val="en-US"/>
        </w:rPr>
        <w:t xml:space="preserve"> </w:t>
      </w:r>
      <w:r>
        <w:rPr>
          <w:rFonts w:asciiTheme="minorHAnsi" w:eastAsia="Times New Roman" w:hAnsiTheme="minorHAnsi" w:cstheme="minorHAnsi"/>
          <w:color w:val="222222"/>
          <w:sz w:val="22"/>
          <w:szCs w:val="22"/>
          <w:lang w:val="en-US"/>
        </w:rPr>
        <w:t>trade</w:t>
      </w:r>
      <w:r w:rsidRPr="00572AE4">
        <w:rPr>
          <w:rFonts w:asciiTheme="minorHAnsi" w:eastAsia="Times New Roman" w:hAnsiTheme="minorHAnsi" w:cstheme="minorHAnsi"/>
          <w:color w:val="222222"/>
          <w:sz w:val="22"/>
          <w:szCs w:val="22"/>
          <w:lang w:val="en-US"/>
        </w:rPr>
        <w:t xml:space="preserve"> secre</w:t>
      </w:r>
      <w:r>
        <w:rPr>
          <w:rFonts w:asciiTheme="minorHAnsi" w:eastAsia="Times New Roman" w:hAnsiTheme="minorHAnsi" w:cstheme="minorHAnsi"/>
          <w:color w:val="222222"/>
          <w:sz w:val="22"/>
          <w:szCs w:val="22"/>
          <w:lang w:val="en-US"/>
        </w:rPr>
        <w:t>ts</w:t>
      </w:r>
      <w:r w:rsidRPr="00572AE4">
        <w:rPr>
          <w:rFonts w:asciiTheme="minorHAnsi" w:eastAsia="Times New Roman" w:hAnsiTheme="minorHAnsi" w:cstheme="minorHAnsi"/>
          <w:color w:val="222222"/>
          <w:sz w:val="22"/>
          <w:szCs w:val="22"/>
          <w:lang w:val="en-US"/>
        </w:rPr>
        <w:t>. It would be desirable for the directive to be more protective of the interests of patients and consumers on this point.</w:t>
      </w:r>
    </w:p>
    <w:p w14:paraId="2803A518" w14:textId="77777777" w:rsidR="00F41CED" w:rsidRPr="00572AE4" w:rsidRDefault="00F41CED" w:rsidP="00F41CED">
      <w:pPr>
        <w:pStyle w:val="Standard"/>
        <w:shd w:val="clear" w:color="auto" w:fill="FFFFFF"/>
        <w:jc w:val="both"/>
        <w:rPr>
          <w:rFonts w:asciiTheme="minorHAnsi" w:eastAsia="Times New Roman" w:hAnsiTheme="minorHAnsi" w:cstheme="minorHAnsi"/>
          <w:color w:val="222222"/>
          <w:sz w:val="22"/>
          <w:szCs w:val="22"/>
          <w:lang w:val="en-US"/>
        </w:rPr>
      </w:pPr>
    </w:p>
    <w:tbl>
      <w:tblPr>
        <w:tblStyle w:val="Grilledutableau"/>
        <w:tblW w:w="0" w:type="auto"/>
        <w:tblLook w:val="04A0" w:firstRow="1" w:lastRow="0" w:firstColumn="1" w:lastColumn="0" w:noHBand="0" w:noVBand="1"/>
      </w:tblPr>
      <w:tblGrid>
        <w:gridCol w:w="4531"/>
        <w:gridCol w:w="4531"/>
      </w:tblGrid>
      <w:tr w:rsidR="00F41CED" w:rsidRPr="008B65C6" w14:paraId="48E47805" w14:textId="77777777" w:rsidTr="001C789E">
        <w:tc>
          <w:tcPr>
            <w:tcW w:w="4531" w:type="dxa"/>
          </w:tcPr>
          <w:p w14:paraId="2EE15267" w14:textId="77777777" w:rsidR="00F41CED" w:rsidRPr="00572AE4" w:rsidRDefault="00F41CED" w:rsidP="001C789E">
            <w:pPr>
              <w:rPr>
                <w:rFonts w:cstheme="minorHAnsi"/>
                <w:b/>
                <w:bCs/>
              </w:rPr>
            </w:pPr>
            <w:r w:rsidRPr="00572AE4">
              <w:rPr>
                <w:rFonts w:cstheme="minorHAnsi"/>
                <w:b/>
                <w:bCs/>
              </w:rPr>
              <w:t xml:space="preserve">Article 8 </w:t>
            </w:r>
          </w:p>
          <w:p w14:paraId="1522F43D" w14:textId="77777777" w:rsidR="00F41CED" w:rsidRDefault="00F41CED" w:rsidP="001C789E">
            <w:pPr>
              <w:rPr>
                <w:rFonts w:cstheme="minorHAnsi"/>
              </w:rPr>
            </w:pPr>
            <w:r w:rsidRPr="008B65C6">
              <w:rPr>
                <w:rFonts w:cstheme="minorHAnsi"/>
              </w:rPr>
              <w:t>Disclosure of evidence</w:t>
            </w:r>
          </w:p>
          <w:p w14:paraId="79009230" w14:textId="77777777" w:rsidR="00F41CED" w:rsidRPr="008B65C6" w:rsidRDefault="00F41CED" w:rsidP="001C789E">
            <w:pPr>
              <w:rPr>
                <w:rFonts w:cstheme="minorHAnsi"/>
                <w:lang w:val="en-US"/>
              </w:rPr>
            </w:pPr>
            <w:r w:rsidRPr="008B65C6">
              <w:rPr>
                <w:rFonts w:cstheme="minorHAnsi"/>
              </w:rPr>
              <w:lastRenderedPageBreak/>
              <w:t>1. Member States shall ensure that national courts are empowered, upon request of an injured person claiming compensation for damage caused by a defective product (‘the claimant’) who has presented facts and evidence sufficient to support the plausibility of the claim for compensation, to order the defendant to disclose relevant evidence that is at its disposal.</w:t>
            </w:r>
          </w:p>
        </w:tc>
        <w:tc>
          <w:tcPr>
            <w:tcW w:w="4531" w:type="dxa"/>
          </w:tcPr>
          <w:p w14:paraId="25F526F6" w14:textId="77777777" w:rsidR="00F41CED" w:rsidRPr="008B65C6" w:rsidRDefault="00F41CED" w:rsidP="001C789E">
            <w:pPr>
              <w:rPr>
                <w:rFonts w:cstheme="minorHAnsi"/>
                <w:b/>
                <w:bCs/>
                <w:i/>
                <w:iCs/>
                <w:lang w:val="en-US"/>
              </w:rPr>
            </w:pPr>
          </w:p>
        </w:tc>
      </w:tr>
      <w:tr w:rsidR="00F41CED" w:rsidRPr="008B65C6" w14:paraId="4CED1A06" w14:textId="77777777" w:rsidTr="001C789E">
        <w:tc>
          <w:tcPr>
            <w:tcW w:w="4531" w:type="dxa"/>
          </w:tcPr>
          <w:p w14:paraId="7FDD2AAF" w14:textId="77777777" w:rsidR="00F41CED" w:rsidRPr="008B65C6" w:rsidRDefault="00F41CED" w:rsidP="001C789E">
            <w:pPr>
              <w:rPr>
                <w:rFonts w:cstheme="minorHAnsi"/>
                <w:lang w:val="en-US"/>
              </w:rPr>
            </w:pPr>
            <w:r w:rsidRPr="008B65C6">
              <w:rPr>
                <w:rFonts w:cstheme="minorHAnsi"/>
              </w:rPr>
              <w:t>2. Member States shall ensure that national courts limit the disclosure of evidence to what is necessary and proportionate to support a claim referred to in paragraph 1.</w:t>
            </w:r>
          </w:p>
        </w:tc>
        <w:tc>
          <w:tcPr>
            <w:tcW w:w="4531" w:type="dxa"/>
          </w:tcPr>
          <w:p w14:paraId="62BB77BB" w14:textId="77777777" w:rsidR="00F41CED" w:rsidRPr="008B65C6" w:rsidRDefault="00F41CED" w:rsidP="001C789E">
            <w:pPr>
              <w:rPr>
                <w:rFonts w:cstheme="minorHAnsi"/>
                <w:lang w:val="en-US"/>
              </w:rPr>
            </w:pPr>
          </w:p>
        </w:tc>
      </w:tr>
      <w:tr w:rsidR="00F41CED" w:rsidRPr="008B65C6" w14:paraId="36CA040A" w14:textId="77777777" w:rsidTr="001C789E">
        <w:tc>
          <w:tcPr>
            <w:tcW w:w="4531" w:type="dxa"/>
          </w:tcPr>
          <w:p w14:paraId="3F0C30E5" w14:textId="77777777" w:rsidR="00F41CED" w:rsidRPr="008B65C6" w:rsidRDefault="00F41CED" w:rsidP="001C789E">
            <w:pPr>
              <w:rPr>
                <w:rFonts w:cstheme="minorHAnsi"/>
                <w:lang w:val="en-US"/>
              </w:rPr>
            </w:pPr>
            <w:r w:rsidRPr="008B65C6">
              <w:rPr>
                <w:rFonts w:cstheme="minorHAnsi"/>
              </w:rPr>
              <w:t>3. When determining whether the disclosure is proportionate, national courts shall consider the legitimate interests of all parties, including third parties concerned, in particular in relation to the protection of confidential information and trade secrets within the meaning of Article 2, point 1, of Directive (EU) 2016/943.</w:t>
            </w:r>
          </w:p>
        </w:tc>
        <w:tc>
          <w:tcPr>
            <w:tcW w:w="4531" w:type="dxa"/>
          </w:tcPr>
          <w:p w14:paraId="51BC9D6D" w14:textId="77777777" w:rsidR="00F41CED" w:rsidRPr="008B65C6" w:rsidRDefault="00F41CED" w:rsidP="001C789E">
            <w:pPr>
              <w:rPr>
                <w:rFonts w:cstheme="minorHAnsi"/>
              </w:rPr>
            </w:pPr>
            <w:r w:rsidRPr="008B65C6">
              <w:rPr>
                <w:rFonts w:cstheme="minorHAnsi"/>
              </w:rPr>
              <w:t>3. When determining whether the disclosure is proportionate, national courts shall consider the legitimate interests of all parties, including third parties concerned, in particular in relation</w:t>
            </w:r>
            <w:r w:rsidRPr="008B65C6">
              <w:rPr>
                <w:rFonts w:cstheme="minorHAnsi"/>
                <w:b/>
                <w:i/>
              </w:rPr>
              <w:t>:</w:t>
            </w:r>
            <w:r w:rsidRPr="008B65C6">
              <w:rPr>
                <w:rFonts w:cstheme="minorHAnsi"/>
              </w:rPr>
              <w:t xml:space="preserve"> </w:t>
            </w:r>
            <w:r w:rsidRPr="008B65C6">
              <w:rPr>
                <w:rFonts w:cstheme="minorHAnsi"/>
                <w:b/>
                <w:i/>
              </w:rPr>
              <w:t>- to the right to an effective legal remedy within the meaning of Article 47 of the Charter of fundamental rights of the European Union;</w:t>
            </w:r>
          </w:p>
          <w:p w14:paraId="4BF04F70" w14:textId="77777777" w:rsidR="00F41CED" w:rsidRPr="008B65C6" w:rsidRDefault="00F41CED" w:rsidP="001C789E">
            <w:pPr>
              <w:rPr>
                <w:rFonts w:cstheme="minorHAnsi"/>
                <w:b/>
                <w:i/>
              </w:rPr>
            </w:pPr>
            <w:r w:rsidRPr="008B65C6">
              <w:rPr>
                <w:rFonts w:cstheme="minorHAnsi"/>
                <w:b/>
                <w:i/>
              </w:rPr>
              <w:t>- to the objective of guaranteeing high levels of human health and consumer protection within the meaning respectively of Articles 168 and 169 of the Treaty on the functioning of the European Union;</w:t>
            </w:r>
          </w:p>
          <w:p w14:paraId="5D246AA8" w14:textId="77777777" w:rsidR="00F41CED" w:rsidRPr="008B65C6" w:rsidRDefault="00F41CED" w:rsidP="001C789E">
            <w:pPr>
              <w:rPr>
                <w:rFonts w:cstheme="minorHAnsi"/>
                <w:b/>
                <w:i/>
              </w:rPr>
            </w:pPr>
            <w:r w:rsidRPr="008B65C6">
              <w:rPr>
                <w:rFonts w:cstheme="minorHAnsi"/>
              </w:rPr>
              <w:t xml:space="preserve">- to the protection of confidential information and trade secrets within the meaning of Article 2, point 1, of Directive (EU) 2016/943 </w:t>
            </w:r>
            <w:r w:rsidRPr="000E686B">
              <w:rPr>
                <w:rFonts w:cstheme="minorHAnsi"/>
                <w:b/>
                <w:i/>
              </w:rPr>
              <w:t>unless there is an overriding public interest in disclosure.</w:t>
            </w:r>
          </w:p>
          <w:p w14:paraId="591C893E" w14:textId="77777777" w:rsidR="00F41CED" w:rsidRPr="008B65C6" w:rsidRDefault="00F41CED" w:rsidP="001C789E">
            <w:pPr>
              <w:rPr>
                <w:rFonts w:cstheme="minorHAnsi"/>
                <w:b/>
                <w:i/>
              </w:rPr>
            </w:pPr>
          </w:p>
        </w:tc>
      </w:tr>
      <w:tr w:rsidR="00F41CED" w:rsidRPr="008B65C6" w14:paraId="7035FAAC" w14:textId="77777777" w:rsidTr="001C789E">
        <w:tc>
          <w:tcPr>
            <w:tcW w:w="4531" w:type="dxa"/>
          </w:tcPr>
          <w:p w14:paraId="7F09B86A" w14:textId="77777777" w:rsidR="00F41CED" w:rsidRPr="008B65C6" w:rsidRDefault="00F41CED" w:rsidP="001C789E">
            <w:pPr>
              <w:rPr>
                <w:rFonts w:cstheme="minorHAnsi"/>
                <w:lang w:val="en-US"/>
              </w:rPr>
            </w:pPr>
            <w:r w:rsidRPr="008B65C6">
              <w:rPr>
                <w:rFonts w:cstheme="minorHAnsi"/>
              </w:rPr>
              <w:t>4. Member States shall ensure that, where a defendant is ordered to disclose information that is a trade secret or an alleged trade secret, national courts are empowered, upon a duly reasoned request of a party or on their own initiative, to take the specific measures necessary to preserve the confidentiality of that information when it is used or referred to in the course of the legal proceedings.</w:t>
            </w:r>
          </w:p>
        </w:tc>
        <w:tc>
          <w:tcPr>
            <w:tcW w:w="4531" w:type="dxa"/>
          </w:tcPr>
          <w:p w14:paraId="32F4B0F8" w14:textId="77777777" w:rsidR="00F41CED" w:rsidRPr="008B65C6" w:rsidRDefault="00F41CED" w:rsidP="001C789E">
            <w:pPr>
              <w:rPr>
                <w:rFonts w:cstheme="minorHAnsi"/>
                <w:lang w:val="en-US"/>
              </w:rPr>
            </w:pPr>
          </w:p>
        </w:tc>
      </w:tr>
    </w:tbl>
    <w:p w14:paraId="76B43ABF" w14:textId="795852EB" w:rsidR="003915BB" w:rsidRPr="008B65C6" w:rsidRDefault="003915BB" w:rsidP="00586029">
      <w:pPr>
        <w:pStyle w:val="Standard"/>
        <w:shd w:val="clear" w:color="auto" w:fill="FFFFFF"/>
        <w:jc w:val="both"/>
        <w:rPr>
          <w:rFonts w:asciiTheme="minorHAnsi" w:eastAsia="Times New Roman" w:hAnsiTheme="minorHAnsi" w:cstheme="minorHAnsi"/>
          <w:b/>
          <w:bCs/>
          <w:color w:val="222222"/>
          <w:sz w:val="22"/>
          <w:szCs w:val="22"/>
          <w:lang w:val="en-US"/>
        </w:rPr>
      </w:pPr>
    </w:p>
    <w:p w14:paraId="4C71F1C3" w14:textId="3E395733" w:rsidR="005C195A" w:rsidRPr="00F41CED" w:rsidRDefault="005C195A" w:rsidP="00586029">
      <w:pPr>
        <w:pStyle w:val="Standard"/>
        <w:shd w:val="clear" w:color="auto" w:fill="FFFFFF"/>
        <w:jc w:val="both"/>
        <w:rPr>
          <w:rFonts w:asciiTheme="minorHAnsi" w:eastAsia="Times New Roman" w:hAnsiTheme="minorHAnsi" w:cstheme="minorHAnsi"/>
          <w:b/>
          <w:bCs/>
          <w:color w:val="222222"/>
          <w:sz w:val="22"/>
          <w:szCs w:val="22"/>
          <w:lang w:val="en-US"/>
        </w:rPr>
      </w:pPr>
      <w:r w:rsidRPr="00F41CED">
        <w:rPr>
          <w:rFonts w:asciiTheme="minorHAnsi" w:eastAsia="Times New Roman" w:hAnsiTheme="minorHAnsi" w:cstheme="minorHAnsi"/>
          <w:b/>
          <w:bCs/>
          <w:color w:val="222222"/>
          <w:sz w:val="22"/>
          <w:szCs w:val="22"/>
          <w:lang w:val="en-US"/>
        </w:rPr>
        <w:t>Withdrawal of the development-risk exemption</w:t>
      </w:r>
    </w:p>
    <w:p w14:paraId="2E25095D" w14:textId="71E609F6" w:rsidR="005C195A" w:rsidRPr="008B65C6" w:rsidRDefault="00A95E1E" w:rsidP="00586029">
      <w:pPr>
        <w:pStyle w:val="Standard"/>
        <w:shd w:val="clear" w:color="auto" w:fill="FFFFFF"/>
        <w:jc w:val="both"/>
        <w:rPr>
          <w:rFonts w:asciiTheme="minorHAnsi" w:eastAsia="Times New Roman" w:hAnsiTheme="minorHAnsi" w:cstheme="minorHAnsi"/>
          <w:color w:val="222222"/>
          <w:sz w:val="22"/>
          <w:szCs w:val="22"/>
          <w:lang w:val="en-US"/>
        </w:rPr>
      </w:pPr>
      <w:r w:rsidRPr="00142D50">
        <w:rPr>
          <w:rFonts w:asciiTheme="minorHAnsi" w:eastAsia="Times New Roman" w:hAnsiTheme="minorHAnsi" w:cstheme="minorHAnsi"/>
          <w:color w:val="222222"/>
          <w:sz w:val="22"/>
          <w:szCs w:val="22"/>
          <w:lang w:val="en-US"/>
        </w:rPr>
        <w:t>Many p</w:t>
      </w:r>
      <w:r w:rsidR="005C195A" w:rsidRPr="00142D50">
        <w:rPr>
          <w:rFonts w:asciiTheme="minorHAnsi" w:eastAsia="Times New Roman" w:hAnsiTheme="minorHAnsi" w:cstheme="minorHAnsi"/>
          <w:color w:val="222222"/>
          <w:sz w:val="22"/>
          <w:szCs w:val="22"/>
          <w:lang w:val="en-US"/>
        </w:rPr>
        <w:t xml:space="preserve">harmaceutical products entail a risk of rare but serious adverse </w:t>
      </w:r>
      <w:r w:rsidR="00ED7538">
        <w:rPr>
          <w:rFonts w:asciiTheme="minorHAnsi" w:eastAsia="Times New Roman" w:hAnsiTheme="minorHAnsi" w:cstheme="minorHAnsi"/>
          <w:color w:val="222222"/>
          <w:sz w:val="22"/>
          <w:szCs w:val="22"/>
          <w:lang w:val="en-US"/>
        </w:rPr>
        <w:t>reactions</w:t>
      </w:r>
      <w:r w:rsidR="005C195A" w:rsidRPr="00142D50">
        <w:rPr>
          <w:rFonts w:asciiTheme="minorHAnsi" w:eastAsia="Times New Roman" w:hAnsiTheme="minorHAnsi" w:cstheme="minorHAnsi"/>
          <w:color w:val="222222"/>
          <w:sz w:val="22"/>
          <w:szCs w:val="22"/>
          <w:lang w:val="en-US"/>
        </w:rPr>
        <w:t xml:space="preserve"> by their very nature.</w:t>
      </w:r>
      <w:r w:rsidR="005C195A" w:rsidRPr="008B65C6">
        <w:rPr>
          <w:rFonts w:asciiTheme="minorHAnsi" w:eastAsia="Times New Roman" w:hAnsiTheme="minorHAnsi" w:cstheme="minorHAnsi"/>
          <w:color w:val="222222"/>
          <w:sz w:val="22"/>
          <w:szCs w:val="22"/>
          <w:lang w:val="en-US"/>
        </w:rPr>
        <w:t xml:space="preserve"> Most of these risks can only be evidenced through pharmacovigilance signals, after the product has be</w:t>
      </w:r>
      <w:r w:rsidR="00ED7538">
        <w:rPr>
          <w:rFonts w:asciiTheme="minorHAnsi" w:eastAsia="Times New Roman" w:hAnsiTheme="minorHAnsi" w:cstheme="minorHAnsi"/>
          <w:color w:val="222222"/>
          <w:sz w:val="22"/>
          <w:szCs w:val="22"/>
          <w:lang w:val="en-US"/>
        </w:rPr>
        <w:t>en</w:t>
      </w:r>
      <w:r w:rsidR="005C195A" w:rsidRPr="008B65C6">
        <w:rPr>
          <w:rFonts w:asciiTheme="minorHAnsi" w:eastAsia="Times New Roman" w:hAnsiTheme="minorHAnsi" w:cstheme="minorHAnsi"/>
          <w:color w:val="222222"/>
          <w:sz w:val="22"/>
          <w:szCs w:val="22"/>
          <w:lang w:val="en-US"/>
        </w:rPr>
        <w:t xml:space="preserve"> marketed and used by patients. The first years, patients are thus especially exposed to the risk of unknown adverse events.</w:t>
      </w:r>
      <w:r w:rsidR="008F0B2D" w:rsidRPr="008B65C6">
        <w:rPr>
          <w:rFonts w:asciiTheme="minorHAnsi" w:eastAsia="Times New Roman" w:hAnsiTheme="minorHAnsi" w:cstheme="minorHAnsi"/>
          <w:color w:val="222222"/>
          <w:sz w:val="22"/>
          <w:szCs w:val="22"/>
          <w:lang w:val="en-US"/>
        </w:rPr>
        <w:t xml:space="preserve"> </w:t>
      </w:r>
    </w:p>
    <w:p w14:paraId="7B3EB4F5" w14:textId="6694D60F" w:rsidR="003915BB" w:rsidRPr="008B65C6" w:rsidRDefault="008F0B2D" w:rsidP="00586029">
      <w:pPr>
        <w:pStyle w:val="Standard"/>
        <w:shd w:val="clear" w:color="auto" w:fill="FFFFFF"/>
        <w:jc w:val="both"/>
        <w:rPr>
          <w:rFonts w:asciiTheme="minorHAnsi" w:eastAsia="Times New Roman" w:hAnsiTheme="minorHAnsi" w:cstheme="minorHAnsi"/>
          <w:color w:val="222222"/>
          <w:sz w:val="22"/>
          <w:szCs w:val="22"/>
          <w:lang w:val="en-US"/>
        </w:rPr>
      </w:pPr>
      <w:r w:rsidRPr="008B65C6">
        <w:rPr>
          <w:rFonts w:asciiTheme="minorHAnsi" w:eastAsia="Times New Roman" w:hAnsiTheme="minorHAnsi" w:cstheme="minorHAnsi"/>
          <w:color w:val="222222"/>
          <w:sz w:val="22"/>
          <w:szCs w:val="22"/>
          <w:lang w:val="en-US"/>
        </w:rPr>
        <w:t xml:space="preserve">It would therefore be unfair to exempt producers from their responsibility </w:t>
      </w:r>
      <w:r w:rsidR="00323133" w:rsidRPr="008B65C6">
        <w:rPr>
          <w:rFonts w:asciiTheme="minorHAnsi" w:eastAsia="Times New Roman" w:hAnsiTheme="minorHAnsi" w:cstheme="minorHAnsi"/>
          <w:color w:val="222222"/>
          <w:sz w:val="22"/>
          <w:szCs w:val="22"/>
          <w:lang w:val="en-US"/>
        </w:rPr>
        <w:t xml:space="preserve">related to the development of </w:t>
      </w:r>
      <w:r w:rsidR="00860F45" w:rsidRPr="008B65C6">
        <w:rPr>
          <w:rFonts w:asciiTheme="minorHAnsi" w:eastAsia="Times New Roman" w:hAnsiTheme="minorHAnsi" w:cstheme="minorHAnsi"/>
          <w:color w:val="222222"/>
          <w:sz w:val="22"/>
          <w:szCs w:val="22"/>
          <w:lang w:val="en-US"/>
        </w:rPr>
        <w:t xml:space="preserve">high priced new </w:t>
      </w:r>
      <w:r w:rsidR="00323133" w:rsidRPr="008B65C6">
        <w:rPr>
          <w:rFonts w:asciiTheme="minorHAnsi" w:eastAsia="Times New Roman" w:hAnsiTheme="minorHAnsi" w:cstheme="minorHAnsi"/>
          <w:color w:val="222222"/>
          <w:sz w:val="22"/>
          <w:szCs w:val="22"/>
          <w:lang w:val="en-US"/>
        </w:rPr>
        <w:t>pharmaceutical products</w:t>
      </w:r>
      <w:r w:rsidR="00860F45" w:rsidRPr="008B65C6">
        <w:rPr>
          <w:rFonts w:asciiTheme="minorHAnsi" w:eastAsia="Times New Roman" w:hAnsiTheme="minorHAnsi" w:cstheme="minorHAnsi"/>
          <w:color w:val="222222"/>
          <w:sz w:val="22"/>
          <w:szCs w:val="22"/>
          <w:lang w:val="en-US"/>
        </w:rPr>
        <w:t xml:space="preserve">, </w:t>
      </w:r>
      <w:r w:rsidR="00323133" w:rsidRPr="008B65C6">
        <w:rPr>
          <w:rFonts w:asciiTheme="minorHAnsi" w:eastAsia="Times New Roman" w:hAnsiTheme="minorHAnsi" w:cstheme="minorHAnsi"/>
          <w:color w:val="222222"/>
          <w:sz w:val="22"/>
          <w:szCs w:val="22"/>
          <w:lang w:val="en-US"/>
        </w:rPr>
        <w:t>while</w:t>
      </w:r>
      <w:r w:rsidR="00860F45" w:rsidRPr="008B65C6">
        <w:rPr>
          <w:rFonts w:asciiTheme="minorHAnsi" w:eastAsia="Times New Roman" w:hAnsiTheme="minorHAnsi" w:cstheme="minorHAnsi"/>
          <w:color w:val="222222"/>
          <w:sz w:val="22"/>
          <w:szCs w:val="22"/>
          <w:lang w:val="en-US"/>
        </w:rPr>
        <w:t xml:space="preserve"> </w:t>
      </w:r>
      <w:r w:rsidR="00323133" w:rsidRPr="008B65C6">
        <w:rPr>
          <w:rFonts w:asciiTheme="minorHAnsi" w:eastAsia="Times New Roman" w:hAnsiTheme="minorHAnsi" w:cstheme="minorHAnsi"/>
          <w:color w:val="222222"/>
          <w:sz w:val="22"/>
          <w:szCs w:val="22"/>
          <w:lang w:val="en-US"/>
        </w:rPr>
        <w:t xml:space="preserve">they can insure themselves against this risk. Moreover, it would </w:t>
      </w:r>
      <w:r w:rsidR="00860F45" w:rsidRPr="008B65C6">
        <w:rPr>
          <w:rFonts w:asciiTheme="minorHAnsi" w:eastAsia="Times New Roman" w:hAnsiTheme="minorHAnsi" w:cstheme="minorHAnsi"/>
          <w:color w:val="222222"/>
          <w:sz w:val="22"/>
          <w:szCs w:val="22"/>
          <w:lang w:val="en-US"/>
        </w:rPr>
        <w:t>be a step backwards in the protection of consumers and patients’ rights as article 15 of directive 85/374/EEC allow</w:t>
      </w:r>
      <w:r w:rsidR="00442B40">
        <w:rPr>
          <w:rFonts w:asciiTheme="minorHAnsi" w:eastAsia="Times New Roman" w:hAnsiTheme="minorHAnsi" w:cstheme="minorHAnsi"/>
          <w:color w:val="222222"/>
          <w:sz w:val="22"/>
          <w:szCs w:val="22"/>
          <w:lang w:val="en-US"/>
        </w:rPr>
        <w:t>s</w:t>
      </w:r>
      <w:r w:rsidR="00860F45" w:rsidRPr="008B65C6">
        <w:rPr>
          <w:rFonts w:asciiTheme="minorHAnsi" w:eastAsia="Times New Roman" w:hAnsiTheme="minorHAnsi" w:cstheme="minorHAnsi"/>
          <w:color w:val="222222"/>
          <w:sz w:val="22"/>
          <w:szCs w:val="22"/>
          <w:lang w:val="en-US"/>
        </w:rPr>
        <w:t xml:space="preserve"> Member State to renounce to this development-risk exemption.</w:t>
      </w:r>
      <w:r w:rsidR="00323133" w:rsidRPr="008B65C6">
        <w:rPr>
          <w:rFonts w:asciiTheme="minorHAnsi" w:eastAsia="Times New Roman" w:hAnsiTheme="minorHAnsi" w:cstheme="minorHAnsi"/>
          <w:color w:val="222222"/>
          <w:sz w:val="22"/>
          <w:szCs w:val="22"/>
          <w:lang w:val="en-US"/>
        </w:rPr>
        <w:t xml:space="preserve"> </w:t>
      </w:r>
      <w:r w:rsidR="00860F45" w:rsidRPr="008B65C6">
        <w:rPr>
          <w:rFonts w:asciiTheme="minorHAnsi" w:eastAsia="Times New Roman" w:hAnsiTheme="minorHAnsi" w:cstheme="minorHAnsi"/>
          <w:color w:val="222222"/>
          <w:sz w:val="22"/>
          <w:szCs w:val="22"/>
          <w:lang w:val="en-US"/>
        </w:rPr>
        <w:t>We therefore recommend deleting this exemption.</w:t>
      </w:r>
    </w:p>
    <w:p w14:paraId="42CFA84A" w14:textId="3377FC18" w:rsidR="009E36EB" w:rsidRPr="00F41CED" w:rsidRDefault="009E36EB" w:rsidP="00586029">
      <w:pPr>
        <w:pStyle w:val="Standard"/>
        <w:shd w:val="clear" w:color="auto" w:fill="FFFFFF"/>
        <w:jc w:val="both"/>
        <w:rPr>
          <w:rFonts w:asciiTheme="minorHAnsi" w:eastAsia="Times New Roman" w:hAnsiTheme="minorHAnsi" w:cstheme="minorHAnsi"/>
          <w:b/>
          <w:bCs/>
          <w:color w:val="222222"/>
          <w:sz w:val="22"/>
          <w:szCs w:val="22"/>
          <w:lang w:val="en-US"/>
        </w:rPr>
      </w:pPr>
    </w:p>
    <w:tbl>
      <w:tblPr>
        <w:tblStyle w:val="Grilledutableau"/>
        <w:tblW w:w="0" w:type="auto"/>
        <w:tblLook w:val="04A0" w:firstRow="1" w:lastRow="0" w:firstColumn="1" w:lastColumn="0" w:noHBand="0" w:noVBand="1"/>
      </w:tblPr>
      <w:tblGrid>
        <w:gridCol w:w="4531"/>
        <w:gridCol w:w="4531"/>
      </w:tblGrid>
      <w:tr w:rsidR="009E36EB" w:rsidRPr="008B65C6" w14:paraId="4C814A3D" w14:textId="77777777" w:rsidTr="009E36EB">
        <w:tc>
          <w:tcPr>
            <w:tcW w:w="4531" w:type="dxa"/>
            <w:shd w:val="clear" w:color="auto" w:fill="auto"/>
          </w:tcPr>
          <w:p w14:paraId="29B9D43F" w14:textId="77777777" w:rsidR="00C3329F" w:rsidRPr="00442B40" w:rsidRDefault="009E36EB" w:rsidP="009E36EB">
            <w:pPr>
              <w:pStyle w:val="Standard"/>
              <w:jc w:val="both"/>
              <w:rPr>
                <w:rFonts w:asciiTheme="minorHAnsi" w:hAnsiTheme="minorHAnsi" w:cstheme="minorHAnsi"/>
                <w:b/>
                <w:bCs/>
                <w:sz w:val="22"/>
                <w:szCs w:val="22"/>
                <w:lang w:val="en-US"/>
              </w:rPr>
            </w:pPr>
            <w:r w:rsidRPr="00442B40">
              <w:rPr>
                <w:rFonts w:asciiTheme="minorHAnsi" w:hAnsiTheme="minorHAnsi" w:cstheme="minorHAnsi"/>
                <w:b/>
                <w:bCs/>
                <w:sz w:val="22"/>
                <w:szCs w:val="22"/>
                <w:lang w:val="en-US"/>
              </w:rPr>
              <w:t xml:space="preserve">Article 10 </w:t>
            </w:r>
          </w:p>
          <w:p w14:paraId="0450D456" w14:textId="2A98246B" w:rsidR="009E36EB" w:rsidRPr="008B65C6" w:rsidRDefault="009E36EB" w:rsidP="009E36EB">
            <w:pPr>
              <w:pStyle w:val="Standard"/>
              <w:jc w:val="both"/>
              <w:rPr>
                <w:rFonts w:asciiTheme="minorHAnsi" w:hAnsiTheme="minorHAnsi" w:cstheme="minorHAnsi"/>
                <w:sz w:val="22"/>
                <w:szCs w:val="22"/>
                <w:lang w:val="en-US"/>
              </w:rPr>
            </w:pPr>
            <w:r w:rsidRPr="008B65C6">
              <w:rPr>
                <w:rFonts w:asciiTheme="minorHAnsi" w:hAnsiTheme="minorHAnsi" w:cstheme="minorHAnsi"/>
                <w:sz w:val="22"/>
                <w:szCs w:val="22"/>
                <w:lang w:val="en-US"/>
              </w:rPr>
              <w:t xml:space="preserve">Exemption from liability </w:t>
            </w:r>
          </w:p>
          <w:p w14:paraId="7C39706F" w14:textId="77777777" w:rsidR="009E36EB" w:rsidRPr="008B65C6" w:rsidRDefault="009E36EB" w:rsidP="009E36EB">
            <w:pPr>
              <w:pStyle w:val="Standard"/>
              <w:jc w:val="both"/>
              <w:rPr>
                <w:rFonts w:asciiTheme="minorHAnsi" w:hAnsiTheme="minorHAnsi" w:cstheme="minorHAnsi"/>
                <w:sz w:val="22"/>
                <w:szCs w:val="22"/>
                <w:lang w:val="en-US"/>
              </w:rPr>
            </w:pPr>
            <w:r w:rsidRPr="008B65C6">
              <w:rPr>
                <w:rFonts w:asciiTheme="minorHAnsi" w:hAnsiTheme="minorHAnsi" w:cstheme="minorHAnsi"/>
                <w:sz w:val="22"/>
                <w:szCs w:val="22"/>
                <w:lang w:val="en-US"/>
              </w:rPr>
              <w:t xml:space="preserve">1. An economic operator referred to in Article 7 shall not be liable for damage caused by a defective product if that economic operator proves any of the following: </w:t>
            </w:r>
          </w:p>
          <w:p w14:paraId="5B60BAB9" w14:textId="77777777" w:rsidR="009E36EB" w:rsidRPr="008B65C6" w:rsidRDefault="009E36EB" w:rsidP="009E36EB">
            <w:pPr>
              <w:pStyle w:val="Standard"/>
              <w:jc w:val="both"/>
              <w:rPr>
                <w:rFonts w:asciiTheme="minorHAnsi" w:hAnsiTheme="minorHAnsi" w:cstheme="minorHAnsi"/>
                <w:sz w:val="22"/>
                <w:szCs w:val="22"/>
                <w:lang w:val="en-US"/>
              </w:rPr>
            </w:pPr>
            <w:r w:rsidRPr="008B65C6">
              <w:rPr>
                <w:rFonts w:asciiTheme="minorHAnsi" w:hAnsiTheme="minorHAnsi" w:cstheme="minorHAnsi"/>
                <w:sz w:val="22"/>
                <w:szCs w:val="22"/>
                <w:lang w:val="en-US"/>
              </w:rPr>
              <w:t xml:space="preserve">(a) in the case of a manufacturer or importer, that it did not place the product on the market or put it into service; </w:t>
            </w:r>
          </w:p>
          <w:p w14:paraId="6EB699F3" w14:textId="77777777" w:rsidR="009E36EB" w:rsidRPr="008B65C6" w:rsidRDefault="009E36EB" w:rsidP="009E36EB">
            <w:pPr>
              <w:pStyle w:val="Standard"/>
              <w:jc w:val="both"/>
              <w:rPr>
                <w:rFonts w:asciiTheme="minorHAnsi" w:hAnsiTheme="minorHAnsi" w:cstheme="minorHAnsi"/>
                <w:sz w:val="22"/>
                <w:szCs w:val="22"/>
                <w:lang w:val="en-US"/>
              </w:rPr>
            </w:pPr>
            <w:r w:rsidRPr="008B65C6">
              <w:rPr>
                <w:rFonts w:asciiTheme="minorHAnsi" w:hAnsiTheme="minorHAnsi" w:cstheme="minorHAnsi"/>
                <w:sz w:val="22"/>
                <w:szCs w:val="22"/>
                <w:lang w:val="en-US"/>
              </w:rPr>
              <w:t xml:space="preserve">(b) in the case of a distributor, that it did not make the product available on the market; </w:t>
            </w:r>
          </w:p>
          <w:p w14:paraId="322265E3" w14:textId="77777777" w:rsidR="009E36EB" w:rsidRPr="008B65C6" w:rsidRDefault="009E36EB" w:rsidP="009E36EB">
            <w:pPr>
              <w:pStyle w:val="Standard"/>
              <w:jc w:val="both"/>
              <w:rPr>
                <w:rFonts w:asciiTheme="minorHAnsi" w:hAnsiTheme="minorHAnsi" w:cstheme="minorHAnsi"/>
                <w:sz w:val="22"/>
                <w:szCs w:val="22"/>
                <w:lang w:val="en-US"/>
              </w:rPr>
            </w:pPr>
            <w:r w:rsidRPr="008B65C6">
              <w:rPr>
                <w:rFonts w:asciiTheme="minorHAnsi" w:hAnsiTheme="minorHAnsi" w:cstheme="minorHAnsi"/>
                <w:sz w:val="22"/>
                <w:szCs w:val="22"/>
                <w:lang w:val="en-US"/>
              </w:rPr>
              <w:t xml:space="preserve">(c) that it is probable that the defectiveness that caused the damage did not exist when the product was placed on the market, put into service or, in respect of a distributor, made available on the market, or that this defectiveness came into being after that moment; </w:t>
            </w:r>
          </w:p>
          <w:p w14:paraId="0AC28ABD" w14:textId="77777777" w:rsidR="009E36EB" w:rsidRPr="008B65C6" w:rsidRDefault="009E36EB" w:rsidP="009E36EB">
            <w:pPr>
              <w:pStyle w:val="Standard"/>
              <w:jc w:val="both"/>
              <w:rPr>
                <w:rFonts w:asciiTheme="minorHAnsi" w:hAnsiTheme="minorHAnsi" w:cstheme="minorHAnsi"/>
                <w:sz w:val="22"/>
                <w:szCs w:val="22"/>
                <w:lang w:val="en-US"/>
              </w:rPr>
            </w:pPr>
            <w:r w:rsidRPr="008B65C6">
              <w:rPr>
                <w:rFonts w:asciiTheme="minorHAnsi" w:hAnsiTheme="minorHAnsi" w:cstheme="minorHAnsi"/>
                <w:sz w:val="22"/>
                <w:szCs w:val="22"/>
                <w:lang w:val="en-US"/>
              </w:rPr>
              <w:t xml:space="preserve">(d) that the defectiveness is due to compliance of the product with mandatory regulations issued by public authorities; </w:t>
            </w:r>
          </w:p>
          <w:p w14:paraId="18B715CE" w14:textId="77777777" w:rsidR="009E36EB" w:rsidRPr="008B65C6" w:rsidRDefault="009E36EB" w:rsidP="009E36EB">
            <w:pPr>
              <w:pStyle w:val="Standard"/>
              <w:jc w:val="both"/>
              <w:rPr>
                <w:rFonts w:asciiTheme="minorHAnsi" w:hAnsiTheme="minorHAnsi" w:cstheme="minorHAnsi"/>
                <w:sz w:val="22"/>
                <w:szCs w:val="22"/>
                <w:lang w:val="en-US"/>
              </w:rPr>
            </w:pPr>
            <w:r w:rsidRPr="008B65C6">
              <w:rPr>
                <w:rFonts w:asciiTheme="minorHAnsi" w:hAnsiTheme="minorHAnsi" w:cstheme="minorHAnsi"/>
                <w:sz w:val="22"/>
                <w:szCs w:val="22"/>
                <w:lang w:val="en-US"/>
              </w:rPr>
              <w:t>(</w:t>
            </w:r>
            <w:r w:rsidRPr="008B65C6">
              <w:rPr>
                <w:rFonts w:asciiTheme="minorHAnsi" w:hAnsiTheme="minorHAnsi" w:cstheme="minorHAnsi"/>
                <w:b/>
                <w:i/>
                <w:sz w:val="22"/>
                <w:szCs w:val="22"/>
                <w:lang w:val="en-US"/>
              </w:rPr>
              <w:t>e) in the case of a manufacturer, that the objective state of scientific and technical knowledge at the time when the product was placed on the market, put into service or in the period in which the product was within</w:t>
            </w:r>
            <w:r w:rsidRPr="008B65C6">
              <w:rPr>
                <w:rFonts w:asciiTheme="minorHAnsi" w:hAnsiTheme="minorHAnsi" w:cstheme="minorHAnsi"/>
                <w:sz w:val="22"/>
                <w:szCs w:val="22"/>
                <w:lang w:val="en-US"/>
              </w:rPr>
              <w:t xml:space="preserve"> </w:t>
            </w:r>
            <w:r w:rsidRPr="008B65C6">
              <w:rPr>
                <w:rFonts w:asciiTheme="minorHAnsi" w:hAnsiTheme="minorHAnsi" w:cstheme="minorHAnsi"/>
                <w:b/>
                <w:i/>
                <w:sz w:val="22"/>
                <w:szCs w:val="22"/>
                <w:lang w:val="en-US"/>
              </w:rPr>
              <w:t>the manufacturer’s control was not such that the defectiveness could be discovered;</w:t>
            </w:r>
            <w:r w:rsidRPr="008B65C6">
              <w:rPr>
                <w:rFonts w:asciiTheme="minorHAnsi" w:hAnsiTheme="minorHAnsi" w:cstheme="minorHAnsi"/>
                <w:sz w:val="22"/>
                <w:szCs w:val="22"/>
                <w:lang w:val="en-US"/>
              </w:rPr>
              <w:t xml:space="preserve"> </w:t>
            </w:r>
          </w:p>
          <w:p w14:paraId="2DEDA057" w14:textId="77777777" w:rsidR="009E36EB" w:rsidRPr="008B65C6" w:rsidRDefault="009E36EB" w:rsidP="009E36EB">
            <w:pPr>
              <w:pStyle w:val="Standard"/>
              <w:jc w:val="both"/>
              <w:rPr>
                <w:rFonts w:asciiTheme="minorHAnsi" w:hAnsiTheme="minorHAnsi" w:cstheme="minorHAnsi"/>
                <w:sz w:val="22"/>
                <w:szCs w:val="22"/>
                <w:lang w:val="en-US"/>
              </w:rPr>
            </w:pPr>
            <w:r w:rsidRPr="008B65C6">
              <w:rPr>
                <w:rFonts w:asciiTheme="minorHAnsi" w:hAnsiTheme="minorHAnsi" w:cstheme="minorHAnsi"/>
                <w:sz w:val="22"/>
                <w:szCs w:val="22"/>
                <w:lang w:val="en-US"/>
              </w:rPr>
              <w:t xml:space="preserve">(f) in the case of a manufacturer of a defective component referred to in Article 7(1), second subparagraph, that the defectiveness of the product is attributable to the design of the product in which the component has been integrated or to the instructions given by the manufacturer of that product to the manufacturer of the component; or </w:t>
            </w:r>
          </w:p>
          <w:p w14:paraId="4D283212" w14:textId="102CFBA8" w:rsidR="009E36EB" w:rsidRPr="008B65C6" w:rsidRDefault="009E36EB" w:rsidP="009E36EB">
            <w:pPr>
              <w:pStyle w:val="Standard"/>
              <w:jc w:val="both"/>
              <w:rPr>
                <w:rFonts w:asciiTheme="minorHAnsi" w:eastAsia="Times New Roman" w:hAnsiTheme="minorHAnsi" w:cstheme="minorHAnsi"/>
                <w:b/>
                <w:bCs/>
                <w:color w:val="222222"/>
                <w:sz w:val="22"/>
                <w:szCs w:val="22"/>
                <w:lang w:val="en-US"/>
              </w:rPr>
            </w:pPr>
            <w:r w:rsidRPr="008B65C6">
              <w:rPr>
                <w:rFonts w:asciiTheme="minorHAnsi" w:hAnsiTheme="minorHAnsi" w:cstheme="minorHAnsi"/>
                <w:sz w:val="22"/>
                <w:szCs w:val="22"/>
                <w:lang w:val="en-US"/>
              </w:rPr>
              <w:t xml:space="preserve">(g) in the case of a person that modifies a product as referred to in Article 7(4), that the defectiveness that caused the damage is related to a part of the product not affected by the modification. </w:t>
            </w:r>
          </w:p>
        </w:tc>
        <w:tc>
          <w:tcPr>
            <w:tcW w:w="4531" w:type="dxa"/>
          </w:tcPr>
          <w:p w14:paraId="5D3F5A11" w14:textId="77777777" w:rsidR="00C3329F" w:rsidRPr="00442B40" w:rsidRDefault="009E36EB" w:rsidP="009E36EB">
            <w:pPr>
              <w:pStyle w:val="Standard"/>
              <w:jc w:val="both"/>
              <w:rPr>
                <w:rFonts w:asciiTheme="minorHAnsi" w:hAnsiTheme="minorHAnsi" w:cstheme="minorHAnsi"/>
                <w:b/>
                <w:bCs/>
                <w:sz w:val="22"/>
                <w:szCs w:val="22"/>
                <w:lang w:val="en-US"/>
              </w:rPr>
            </w:pPr>
            <w:r w:rsidRPr="00442B40">
              <w:rPr>
                <w:rFonts w:asciiTheme="minorHAnsi" w:hAnsiTheme="minorHAnsi" w:cstheme="minorHAnsi"/>
                <w:b/>
                <w:bCs/>
                <w:sz w:val="22"/>
                <w:szCs w:val="22"/>
                <w:lang w:val="en-US"/>
              </w:rPr>
              <w:t xml:space="preserve">Article 10 </w:t>
            </w:r>
          </w:p>
          <w:p w14:paraId="4555B6EB" w14:textId="59103147" w:rsidR="009E36EB" w:rsidRPr="008B65C6" w:rsidRDefault="009E36EB" w:rsidP="009E36EB">
            <w:pPr>
              <w:pStyle w:val="Standard"/>
              <w:jc w:val="both"/>
              <w:rPr>
                <w:rFonts w:asciiTheme="minorHAnsi" w:hAnsiTheme="minorHAnsi" w:cstheme="minorHAnsi"/>
                <w:sz w:val="22"/>
                <w:szCs w:val="22"/>
                <w:lang w:val="en-US"/>
              </w:rPr>
            </w:pPr>
            <w:r w:rsidRPr="008B65C6">
              <w:rPr>
                <w:rFonts w:asciiTheme="minorHAnsi" w:hAnsiTheme="minorHAnsi" w:cstheme="minorHAnsi"/>
                <w:sz w:val="22"/>
                <w:szCs w:val="22"/>
                <w:lang w:val="en-US"/>
              </w:rPr>
              <w:t xml:space="preserve">Exemption from liability </w:t>
            </w:r>
          </w:p>
          <w:p w14:paraId="045731FD" w14:textId="77777777" w:rsidR="009E36EB" w:rsidRPr="008B65C6" w:rsidRDefault="009E36EB" w:rsidP="009E36EB">
            <w:pPr>
              <w:pStyle w:val="Standard"/>
              <w:jc w:val="both"/>
              <w:rPr>
                <w:rFonts w:asciiTheme="minorHAnsi" w:hAnsiTheme="minorHAnsi" w:cstheme="minorHAnsi"/>
                <w:sz w:val="22"/>
                <w:szCs w:val="22"/>
                <w:lang w:val="en-US"/>
              </w:rPr>
            </w:pPr>
            <w:r w:rsidRPr="008B65C6">
              <w:rPr>
                <w:rFonts w:asciiTheme="minorHAnsi" w:hAnsiTheme="minorHAnsi" w:cstheme="minorHAnsi"/>
                <w:sz w:val="22"/>
                <w:szCs w:val="22"/>
                <w:lang w:val="en-US"/>
              </w:rPr>
              <w:t xml:space="preserve">1. An economic operator referred to in Article 7 shall not be liable for damage caused by a defective product if that economic operator proves any of the following: </w:t>
            </w:r>
          </w:p>
          <w:p w14:paraId="20255782" w14:textId="77777777" w:rsidR="009E36EB" w:rsidRPr="008B65C6" w:rsidRDefault="009E36EB" w:rsidP="009E36EB">
            <w:pPr>
              <w:pStyle w:val="Standard"/>
              <w:jc w:val="both"/>
              <w:rPr>
                <w:rFonts w:asciiTheme="minorHAnsi" w:hAnsiTheme="minorHAnsi" w:cstheme="minorHAnsi"/>
                <w:sz w:val="22"/>
                <w:szCs w:val="22"/>
                <w:lang w:val="en-US"/>
              </w:rPr>
            </w:pPr>
            <w:r w:rsidRPr="008B65C6">
              <w:rPr>
                <w:rFonts w:asciiTheme="minorHAnsi" w:hAnsiTheme="minorHAnsi" w:cstheme="minorHAnsi"/>
                <w:sz w:val="22"/>
                <w:szCs w:val="22"/>
                <w:lang w:val="en-US"/>
              </w:rPr>
              <w:t xml:space="preserve">(a) in the case of a manufacturer or importer, that it did not place the product on the market or put it into service; </w:t>
            </w:r>
          </w:p>
          <w:p w14:paraId="539ACA3A" w14:textId="77777777" w:rsidR="009E36EB" w:rsidRPr="008B65C6" w:rsidRDefault="009E36EB" w:rsidP="009E36EB">
            <w:pPr>
              <w:pStyle w:val="Standard"/>
              <w:jc w:val="both"/>
              <w:rPr>
                <w:rFonts w:asciiTheme="minorHAnsi" w:hAnsiTheme="minorHAnsi" w:cstheme="minorHAnsi"/>
                <w:sz w:val="22"/>
                <w:szCs w:val="22"/>
                <w:lang w:val="en-US"/>
              </w:rPr>
            </w:pPr>
            <w:r w:rsidRPr="008B65C6">
              <w:rPr>
                <w:rFonts w:asciiTheme="minorHAnsi" w:hAnsiTheme="minorHAnsi" w:cstheme="minorHAnsi"/>
                <w:sz w:val="22"/>
                <w:szCs w:val="22"/>
                <w:lang w:val="en-US"/>
              </w:rPr>
              <w:t xml:space="preserve">(b) in the case of a distributor, that it did not make the product available on the market; </w:t>
            </w:r>
          </w:p>
          <w:p w14:paraId="744CEF28" w14:textId="77777777" w:rsidR="009E36EB" w:rsidRPr="008B65C6" w:rsidRDefault="009E36EB" w:rsidP="009E36EB">
            <w:pPr>
              <w:pStyle w:val="Standard"/>
              <w:jc w:val="both"/>
              <w:rPr>
                <w:rFonts w:asciiTheme="minorHAnsi" w:hAnsiTheme="minorHAnsi" w:cstheme="minorHAnsi"/>
                <w:sz w:val="22"/>
                <w:szCs w:val="22"/>
                <w:lang w:val="en-US"/>
              </w:rPr>
            </w:pPr>
            <w:r w:rsidRPr="008B65C6">
              <w:rPr>
                <w:rFonts w:asciiTheme="minorHAnsi" w:hAnsiTheme="minorHAnsi" w:cstheme="minorHAnsi"/>
                <w:sz w:val="22"/>
                <w:szCs w:val="22"/>
                <w:lang w:val="en-US"/>
              </w:rPr>
              <w:t xml:space="preserve">(c) that it is probable that the defectiveness that caused the damage did not exist when the product was placed on the market, put into service or, in respect of a distributor, made available on the market, or that this defectiveness came into being after that moment; </w:t>
            </w:r>
          </w:p>
          <w:p w14:paraId="467FB470" w14:textId="77777777" w:rsidR="009E36EB" w:rsidRPr="008B65C6" w:rsidRDefault="009E36EB" w:rsidP="009E36EB">
            <w:pPr>
              <w:pStyle w:val="Standard"/>
              <w:jc w:val="both"/>
              <w:rPr>
                <w:rFonts w:asciiTheme="minorHAnsi" w:hAnsiTheme="minorHAnsi" w:cstheme="minorHAnsi"/>
                <w:sz w:val="22"/>
                <w:szCs w:val="22"/>
                <w:lang w:val="en-US"/>
              </w:rPr>
            </w:pPr>
            <w:r w:rsidRPr="008B65C6">
              <w:rPr>
                <w:rFonts w:asciiTheme="minorHAnsi" w:hAnsiTheme="minorHAnsi" w:cstheme="minorHAnsi"/>
                <w:sz w:val="22"/>
                <w:szCs w:val="22"/>
                <w:lang w:val="en-US"/>
              </w:rPr>
              <w:t xml:space="preserve">(d) that the defectiveness is due to compliance of the product with mandatory regulations issued by public authorities; </w:t>
            </w:r>
          </w:p>
          <w:p w14:paraId="2C39FD89" w14:textId="77777777" w:rsidR="009E36EB" w:rsidRPr="008B65C6" w:rsidRDefault="009E36EB" w:rsidP="009E36EB">
            <w:pPr>
              <w:pStyle w:val="Standard"/>
              <w:jc w:val="both"/>
              <w:rPr>
                <w:rFonts w:asciiTheme="minorHAnsi" w:hAnsiTheme="minorHAnsi" w:cstheme="minorHAnsi"/>
                <w:b/>
                <w:i/>
                <w:strike/>
                <w:sz w:val="22"/>
                <w:szCs w:val="22"/>
                <w:lang w:val="en-US"/>
              </w:rPr>
            </w:pPr>
            <w:r w:rsidRPr="008B65C6">
              <w:rPr>
                <w:rFonts w:asciiTheme="minorHAnsi" w:hAnsiTheme="minorHAnsi" w:cstheme="minorHAnsi"/>
                <w:b/>
                <w:i/>
                <w:strike/>
                <w:sz w:val="22"/>
                <w:szCs w:val="22"/>
                <w:lang w:val="en-US"/>
              </w:rPr>
              <w:t xml:space="preserve">(e) in the case of a manufacturer, that the objective state of scientific and technical knowledge at the time when the product was placed on the market, put into service or in the period in which the product was within the manufacturer’s control was not such that the defectiveness could be discovered; </w:t>
            </w:r>
          </w:p>
          <w:p w14:paraId="47C04A3C" w14:textId="77777777" w:rsidR="009E36EB" w:rsidRPr="008B65C6" w:rsidRDefault="009E36EB" w:rsidP="009E36EB">
            <w:pPr>
              <w:pStyle w:val="Standard"/>
              <w:jc w:val="both"/>
              <w:rPr>
                <w:rFonts w:asciiTheme="minorHAnsi" w:hAnsiTheme="minorHAnsi" w:cstheme="minorHAnsi"/>
                <w:sz w:val="22"/>
                <w:szCs w:val="22"/>
                <w:lang w:val="en-US"/>
              </w:rPr>
            </w:pPr>
            <w:r w:rsidRPr="008B65C6">
              <w:rPr>
                <w:rFonts w:asciiTheme="minorHAnsi" w:hAnsiTheme="minorHAnsi" w:cstheme="minorHAnsi"/>
                <w:sz w:val="22"/>
                <w:szCs w:val="22"/>
                <w:lang w:val="en-US"/>
              </w:rPr>
              <w:t xml:space="preserve">(f) in the case of a manufacturer of a defective component referred to in Article 7(1), second subparagraph, that the defectiveness of the product is attributable to the design of the product in which the component has been integrated or to the instructions given by the manufacturer of that product to the manufacturer of the component; or </w:t>
            </w:r>
          </w:p>
          <w:p w14:paraId="1A15AC57" w14:textId="36ECB4FE" w:rsidR="009E36EB" w:rsidRPr="008B65C6" w:rsidRDefault="009E36EB" w:rsidP="009E36EB">
            <w:pPr>
              <w:pStyle w:val="Standard"/>
              <w:jc w:val="both"/>
              <w:rPr>
                <w:rFonts w:asciiTheme="minorHAnsi" w:eastAsia="Times New Roman" w:hAnsiTheme="minorHAnsi" w:cstheme="minorHAnsi"/>
                <w:b/>
                <w:bCs/>
                <w:color w:val="222222"/>
                <w:sz w:val="22"/>
                <w:szCs w:val="22"/>
                <w:lang w:val="en-GB"/>
              </w:rPr>
            </w:pPr>
            <w:r w:rsidRPr="008B65C6">
              <w:rPr>
                <w:rFonts w:asciiTheme="minorHAnsi" w:hAnsiTheme="minorHAnsi" w:cstheme="minorHAnsi"/>
                <w:sz w:val="22"/>
                <w:szCs w:val="22"/>
                <w:lang w:val="en-US"/>
              </w:rPr>
              <w:t xml:space="preserve">(g) in the case of a person that modifies a product as referred to in Article 7(4), that the defectiveness that caused the damage is related to a part of the product not affected by the modification. </w:t>
            </w:r>
          </w:p>
        </w:tc>
      </w:tr>
      <w:tr w:rsidR="009E36EB" w:rsidRPr="008B65C6" w14:paraId="44DE7F72" w14:textId="77777777" w:rsidTr="009E36EB">
        <w:tc>
          <w:tcPr>
            <w:tcW w:w="4531" w:type="dxa"/>
          </w:tcPr>
          <w:p w14:paraId="1709EEB0" w14:textId="77777777" w:rsidR="009E36EB" w:rsidRPr="008B65C6" w:rsidRDefault="009E36EB" w:rsidP="009E36EB">
            <w:pPr>
              <w:pStyle w:val="Standard"/>
              <w:jc w:val="both"/>
              <w:rPr>
                <w:rFonts w:asciiTheme="minorHAnsi" w:eastAsia="Times New Roman" w:hAnsiTheme="minorHAnsi" w:cstheme="minorHAnsi"/>
                <w:b/>
                <w:bCs/>
                <w:color w:val="222222"/>
                <w:sz w:val="22"/>
                <w:szCs w:val="22"/>
                <w:lang w:val="en-GB"/>
              </w:rPr>
            </w:pPr>
          </w:p>
        </w:tc>
        <w:tc>
          <w:tcPr>
            <w:tcW w:w="4531" w:type="dxa"/>
          </w:tcPr>
          <w:p w14:paraId="744EBCF5" w14:textId="072E60B2" w:rsidR="0001130C" w:rsidRPr="008B65C6" w:rsidRDefault="00142D50" w:rsidP="009E36EB">
            <w:pPr>
              <w:pStyle w:val="Standard"/>
              <w:jc w:val="both"/>
              <w:rPr>
                <w:rFonts w:asciiTheme="minorHAnsi" w:eastAsia="Times New Roman" w:hAnsiTheme="minorHAnsi" w:cstheme="minorHAnsi"/>
                <w:b/>
                <w:bCs/>
                <w:color w:val="222222"/>
                <w:sz w:val="22"/>
                <w:szCs w:val="22"/>
                <w:highlight w:val="yellow"/>
                <w:lang w:val="en-GB"/>
              </w:rPr>
            </w:pPr>
            <w:r w:rsidRPr="00142D50">
              <w:rPr>
                <w:rFonts w:asciiTheme="minorHAnsi" w:eastAsia="Times New Roman" w:hAnsiTheme="minorHAnsi" w:cstheme="minorHAnsi"/>
                <w:b/>
                <w:bCs/>
                <w:color w:val="222222"/>
                <w:sz w:val="22"/>
                <w:szCs w:val="22"/>
                <w:highlight w:val="lightGray"/>
                <w:lang w:val="en-US"/>
              </w:rPr>
              <w:t xml:space="preserve">ALTERNATIVE PROPOSAL: New article </w:t>
            </w:r>
          </w:p>
          <w:p w14:paraId="6BB95BD3" w14:textId="77777777" w:rsidR="0001130C" w:rsidRPr="008B65C6" w:rsidRDefault="0001130C" w:rsidP="009E36EB">
            <w:pPr>
              <w:pStyle w:val="Standard"/>
              <w:jc w:val="both"/>
              <w:rPr>
                <w:rFonts w:asciiTheme="minorHAnsi" w:eastAsia="Times New Roman" w:hAnsiTheme="minorHAnsi" w:cstheme="minorHAnsi"/>
                <w:b/>
                <w:bCs/>
                <w:i/>
                <w:color w:val="222222"/>
                <w:sz w:val="22"/>
                <w:szCs w:val="22"/>
                <w:highlight w:val="yellow"/>
                <w:lang w:val="en-GB"/>
              </w:rPr>
            </w:pPr>
          </w:p>
          <w:p w14:paraId="73169852" w14:textId="620AFFDB" w:rsidR="0001130C" w:rsidRPr="008B65C6" w:rsidRDefault="0001130C" w:rsidP="009E36EB">
            <w:pPr>
              <w:pStyle w:val="Standard"/>
              <w:jc w:val="both"/>
              <w:rPr>
                <w:rFonts w:asciiTheme="minorHAnsi" w:eastAsia="Times New Roman" w:hAnsiTheme="minorHAnsi" w:cstheme="minorHAnsi"/>
                <w:b/>
                <w:bCs/>
                <w:color w:val="222222"/>
                <w:sz w:val="22"/>
                <w:szCs w:val="22"/>
                <w:highlight w:val="yellow"/>
                <w:lang w:val="en-US"/>
              </w:rPr>
            </w:pPr>
            <w:r w:rsidRPr="00142D50">
              <w:rPr>
                <w:rFonts w:asciiTheme="minorHAnsi" w:eastAsia="Times New Roman" w:hAnsiTheme="minorHAnsi" w:cstheme="minorHAnsi"/>
                <w:b/>
                <w:bCs/>
                <w:i/>
                <w:color w:val="222222"/>
                <w:sz w:val="22"/>
                <w:szCs w:val="22"/>
                <w:highlight w:val="lightGray"/>
                <w:lang w:val="en-US"/>
              </w:rPr>
              <w:t xml:space="preserve">In </w:t>
            </w:r>
            <w:r w:rsidR="00142D50" w:rsidRPr="00142D50">
              <w:rPr>
                <w:rFonts w:asciiTheme="minorHAnsi" w:eastAsia="Times New Roman" w:hAnsiTheme="minorHAnsi" w:cstheme="minorHAnsi"/>
                <w:b/>
                <w:bCs/>
                <w:i/>
                <w:color w:val="222222"/>
                <w:sz w:val="22"/>
                <w:szCs w:val="22"/>
                <w:highlight w:val="lightGray"/>
                <w:lang w:val="en-US"/>
              </w:rPr>
              <w:t>accordance with the objective to guarantee</w:t>
            </w:r>
            <w:r w:rsidRPr="00142D50">
              <w:rPr>
                <w:rFonts w:asciiTheme="minorHAnsi" w:eastAsia="Times New Roman" w:hAnsiTheme="minorHAnsi" w:cstheme="minorHAnsi"/>
                <w:b/>
                <w:bCs/>
                <w:i/>
                <w:color w:val="222222"/>
                <w:sz w:val="22"/>
                <w:szCs w:val="22"/>
                <w:highlight w:val="lightGray"/>
                <w:lang w:val="en-US"/>
              </w:rPr>
              <w:t xml:space="preserve"> a high level of patient protection, the development-risk exemption laid down in article 10 </w:t>
            </w:r>
            <w:r w:rsidR="00AB07B9" w:rsidRPr="00142D50">
              <w:rPr>
                <w:rFonts w:asciiTheme="minorHAnsi" w:eastAsia="Times New Roman" w:hAnsiTheme="minorHAnsi" w:cstheme="minorHAnsi"/>
                <w:b/>
                <w:bCs/>
                <w:i/>
                <w:color w:val="222222"/>
                <w:sz w:val="22"/>
                <w:szCs w:val="22"/>
                <w:highlight w:val="lightGray"/>
                <w:lang w:val="en-US"/>
              </w:rPr>
              <w:t>(e)</w:t>
            </w:r>
            <w:r w:rsidRPr="00142D50">
              <w:rPr>
                <w:rFonts w:asciiTheme="minorHAnsi" w:eastAsia="Times New Roman" w:hAnsiTheme="minorHAnsi" w:cstheme="minorHAnsi"/>
                <w:b/>
                <w:bCs/>
                <w:i/>
                <w:color w:val="222222"/>
                <w:sz w:val="22"/>
                <w:szCs w:val="22"/>
                <w:highlight w:val="lightGray"/>
                <w:lang w:val="en-US"/>
              </w:rPr>
              <w:t xml:space="preserve"> does not apply to medicinal products, medical devices and health technologies</w:t>
            </w:r>
            <w:r w:rsidR="00142D50">
              <w:rPr>
                <w:rFonts w:asciiTheme="minorHAnsi" w:eastAsia="Times New Roman" w:hAnsiTheme="minorHAnsi" w:cstheme="minorHAnsi"/>
                <w:b/>
                <w:bCs/>
                <w:i/>
                <w:color w:val="222222"/>
                <w:sz w:val="22"/>
                <w:szCs w:val="22"/>
                <w:highlight w:val="lightGray"/>
                <w:lang w:val="en-US"/>
              </w:rPr>
              <w:t xml:space="preserve"> in general</w:t>
            </w:r>
            <w:r w:rsidRPr="00142D50">
              <w:rPr>
                <w:rFonts w:asciiTheme="minorHAnsi" w:eastAsia="Times New Roman" w:hAnsiTheme="minorHAnsi" w:cstheme="minorHAnsi"/>
                <w:b/>
                <w:bCs/>
                <w:i/>
                <w:color w:val="222222"/>
                <w:sz w:val="22"/>
                <w:szCs w:val="22"/>
                <w:highlight w:val="lightGray"/>
                <w:lang w:val="en-US"/>
              </w:rPr>
              <w:t>.</w:t>
            </w:r>
          </w:p>
        </w:tc>
      </w:tr>
    </w:tbl>
    <w:p w14:paraId="1D0EFD10" w14:textId="77777777" w:rsidR="009E36EB" w:rsidRPr="008B65C6" w:rsidRDefault="009E36EB" w:rsidP="00586029">
      <w:pPr>
        <w:pStyle w:val="Standard"/>
        <w:shd w:val="clear" w:color="auto" w:fill="FFFFFF"/>
        <w:jc w:val="both"/>
        <w:rPr>
          <w:rFonts w:asciiTheme="minorHAnsi" w:eastAsia="Times New Roman" w:hAnsiTheme="minorHAnsi" w:cstheme="minorHAnsi"/>
          <w:b/>
          <w:bCs/>
          <w:color w:val="222222"/>
          <w:sz w:val="22"/>
          <w:szCs w:val="22"/>
          <w:lang w:val="en-GB"/>
        </w:rPr>
      </w:pPr>
    </w:p>
    <w:p w14:paraId="2FB119B5" w14:textId="77777777" w:rsidR="003915BB" w:rsidRPr="008B65C6" w:rsidRDefault="003915BB" w:rsidP="00586029">
      <w:pPr>
        <w:pStyle w:val="Standard"/>
        <w:shd w:val="clear" w:color="auto" w:fill="FFFFFF"/>
        <w:jc w:val="both"/>
        <w:rPr>
          <w:rFonts w:asciiTheme="minorHAnsi" w:eastAsia="Times New Roman" w:hAnsiTheme="minorHAnsi" w:cstheme="minorHAnsi"/>
          <w:b/>
          <w:bCs/>
          <w:color w:val="222222"/>
          <w:sz w:val="22"/>
          <w:szCs w:val="22"/>
          <w:lang w:val="en-US"/>
        </w:rPr>
      </w:pPr>
    </w:p>
    <w:p w14:paraId="416155A3" w14:textId="77777777" w:rsidR="00265248" w:rsidRPr="00265248" w:rsidRDefault="00265248" w:rsidP="00265248">
      <w:pPr>
        <w:pStyle w:val="Standard"/>
        <w:shd w:val="clear" w:color="auto" w:fill="FFFFFF"/>
        <w:jc w:val="both"/>
        <w:rPr>
          <w:rFonts w:asciiTheme="minorHAnsi" w:eastAsia="Times New Roman" w:hAnsiTheme="minorHAnsi" w:cstheme="minorHAnsi"/>
          <w:b/>
          <w:bCs/>
          <w:color w:val="222222"/>
          <w:sz w:val="22"/>
          <w:szCs w:val="22"/>
          <w:lang w:val="en-US"/>
        </w:rPr>
      </w:pPr>
      <w:r w:rsidRPr="00265248">
        <w:rPr>
          <w:rFonts w:asciiTheme="minorHAnsi" w:eastAsia="Times New Roman" w:hAnsiTheme="minorHAnsi" w:cstheme="minorHAnsi"/>
          <w:b/>
          <w:bCs/>
          <w:color w:val="222222"/>
          <w:sz w:val="22"/>
          <w:szCs w:val="22"/>
          <w:lang w:val="en-US"/>
        </w:rPr>
        <w:lastRenderedPageBreak/>
        <w:t>Simplification and extension of the deadlines for legal action</w:t>
      </w:r>
    </w:p>
    <w:p w14:paraId="4E1F37A3" w14:textId="521DB525" w:rsidR="00265248" w:rsidRPr="00265248" w:rsidRDefault="00265248" w:rsidP="00265248">
      <w:pPr>
        <w:pStyle w:val="Standard"/>
        <w:shd w:val="clear" w:color="auto" w:fill="FFFFFF"/>
        <w:jc w:val="both"/>
        <w:rPr>
          <w:rFonts w:asciiTheme="minorHAnsi" w:eastAsia="Times New Roman" w:hAnsiTheme="minorHAnsi" w:cstheme="minorHAnsi"/>
          <w:color w:val="222222"/>
          <w:sz w:val="22"/>
          <w:szCs w:val="22"/>
          <w:lang w:val="en-US"/>
        </w:rPr>
      </w:pPr>
      <w:r w:rsidRPr="00265248">
        <w:rPr>
          <w:rFonts w:asciiTheme="minorHAnsi" w:eastAsia="Times New Roman" w:hAnsiTheme="minorHAnsi" w:cstheme="minorHAnsi"/>
          <w:color w:val="222222"/>
          <w:sz w:val="22"/>
          <w:szCs w:val="22"/>
          <w:lang w:val="en-US"/>
        </w:rPr>
        <w:t>The limitation periods for legal action are crucial for the effective access of victims to compensation and the double period of 3 years (</w:t>
      </w:r>
      <w:r>
        <w:rPr>
          <w:rFonts w:asciiTheme="minorHAnsi" w:eastAsia="Times New Roman" w:hAnsiTheme="minorHAnsi" w:cstheme="minorHAnsi"/>
          <w:color w:val="222222"/>
          <w:sz w:val="22"/>
          <w:szCs w:val="22"/>
          <w:lang w:val="en-US"/>
        </w:rPr>
        <w:t>limitation period</w:t>
      </w:r>
      <w:r w:rsidRPr="00265248">
        <w:rPr>
          <w:rFonts w:asciiTheme="minorHAnsi" w:eastAsia="Times New Roman" w:hAnsiTheme="minorHAnsi" w:cstheme="minorHAnsi"/>
          <w:color w:val="222222"/>
          <w:sz w:val="22"/>
          <w:szCs w:val="22"/>
          <w:lang w:val="en-US"/>
        </w:rPr>
        <w:t>) and 10 years (</w:t>
      </w:r>
      <w:r>
        <w:rPr>
          <w:rFonts w:asciiTheme="minorHAnsi" w:eastAsia="Times New Roman" w:hAnsiTheme="minorHAnsi" w:cstheme="minorHAnsi"/>
          <w:color w:val="222222"/>
          <w:sz w:val="22"/>
          <w:szCs w:val="22"/>
          <w:lang w:val="en-US"/>
        </w:rPr>
        <w:t>extinction of rights</w:t>
      </w:r>
      <w:r w:rsidRPr="00265248">
        <w:rPr>
          <w:rFonts w:asciiTheme="minorHAnsi" w:eastAsia="Times New Roman" w:hAnsiTheme="minorHAnsi" w:cstheme="minorHAnsi"/>
          <w:color w:val="222222"/>
          <w:sz w:val="22"/>
          <w:szCs w:val="22"/>
          <w:lang w:val="en-US"/>
        </w:rPr>
        <w:t>) is a major barrier. The 3-year limitation period is an obstacle for patients who are often not physical</w:t>
      </w:r>
      <w:r>
        <w:rPr>
          <w:rFonts w:asciiTheme="minorHAnsi" w:eastAsia="Times New Roman" w:hAnsiTheme="minorHAnsi" w:cstheme="minorHAnsi"/>
          <w:color w:val="222222"/>
          <w:sz w:val="22"/>
          <w:szCs w:val="22"/>
          <w:lang w:val="en-US"/>
        </w:rPr>
        <w:t>ly</w:t>
      </w:r>
      <w:r w:rsidRPr="00265248">
        <w:rPr>
          <w:rFonts w:asciiTheme="minorHAnsi" w:eastAsia="Times New Roman" w:hAnsiTheme="minorHAnsi" w:cstheme="minorHAnsi"/>
          <w:color w:val="222222"/>
          <w:sz w:val="22"/>
          <w:szCs w:val="22"/>
          <w:lang w:val="en-US"/>
        </w:rPr>
        <w:t xml:space="preserve"> and/or psychological</w:t>
      </w:r>
      <w:r>
        <w:rPr>
          <w:rFonts w:asciiTheme="minorHAnsi" w:eastAsia="Times New Roman" w:hAnsiTheme="minorHAnsi" w:cstheme="minorHAnsi"/>
          <w:color w:val="222222"/>
          <w:sz w:val="22"/>
          <w:szCs w:val="22"/>
          <w:lang w:val="en-US"/>
        </w:rPr>
        <w:t>ly</w:t>
      </w:r>
      <w:r w:rsidRPr="00265248">
        <w:rPr>
          <w:rFonts w:asciiTheme="minorHAnsi" w:eastAsia="Times New Roman" w:hAnsiTheme="minorHAnsi" w:cstheme="minorHAnsi"/>
          <w:color w:val="222222"/>
          <w:sz w:val="22"/>
          <w:szCs w:val="22"/>
          <w:lang w:val="en-US"/>
        </w:rPr>
        <w:t xml:space="preserve"> </w:t>
      </w:r>
      <w:r>
        <w:rPr>
          <w:rFonts w:asciiTheme="minorHAnsi" w:eastAsia="Times New Roman" w:hAnsiTheme="minorHAnsi" w:cstheme="minorHAnsi"/>
          <w:color w:val="222222"/>
          <w:sz w:val="22"/>
          <w:szCs w:val="22"/>
          <w:lang w:val="en-US"/>
        </w:rPr>
        <w:t>able</w:t>
      </w:r>
      <w:r w:rsidRPr="00265248">
        <w:rPr>
          <w:rFonts w:asciiTheme="minorHAnsi" w:eastAsia="Times New Roman" w:hAnsiTheme="minorHAnsi" w:cstheme="minorHAnsi"/>
          <w:color w:val="222222"/>
          <w:sz w:val="22"/>
          <w:szCs w:val="22"/>
          <w:lang w:val="en-US"/>
        </w:rPr>
        <w:t xml:space="preserve"> to take legal action for several years</w:t>
      </w:r>
      <w:r>
        <w:rPr>
          <w:rFonts w:asciiTheme="minorHAnsi" w:eastAsia="Times New Roman" w:hAnsiTheme="minorHAnsi" w:cstheme="minorHAnsi"/>
          <w:color w:val="222222"/>
          <w:sz w:val="22"/>
          <w:szCs w:val="22"/>
          <w:lang w:val="en-US"/>
        </w:rPr>
        <w:t>,</w:t>
      </w:r>
      <w:r w:rsidRPr="00265248">
        <w:rPr>
          <w:rFonts w:asciiTheme="minorHAnsi" w:eastAsia="Times New Roman" w:hAnsiTheme="minorHAnsi" w:cstheme="minorHAnsi"/>
          <w:color w:val="222222"/>
          <w:sz w:val="22"/>
          <w:szCs w:val="22"/>
          <w:lang w:val="en-US"/>
        </w:rPr>
        <w:t xml:space="preserve"> and for whom the appearance and consolidation of </w:t>
      </w:r>
      <w:r>
        <w:rPr>
          <w:rFonts w:asciiTheme="minorHAnsi" w:eastAsia="Times New Roman" w:hAnsiTheme="minorHAnsi" w:cstheme="minorHAnsi"/>
          <w:color w:val="222222"/>
          <w:sz w:val="22"/>
          <w:szCs w:val="22"/>
          <w:lang w:val="en-US"/>
        </w:rPr>
        <w:t>the damage</w:t>
      </w:r>
      <w:r w:rsidR="00A42AB6">
        <w:rPr>
          <w:rFonts w:asciiTheme="minorHAnsi" w:eastAsia="Times New Roman" w:hAnsiTheme="minorHAnsi" w:cstheme="minorHAnsi"/>
          <w:color w:val="222222"/>
          <w:sz w:val="22"/>
          <w:szCs w:val="22"/>
          <w:lang w:val="en-US"/>
        </w:rPr>
        <w:t>’s</w:t>
      </w:r>
      <w:r w:rsidRPr="00265248">
        <w:rPr>
          <w:rFonts w:asciiTheme="minorHAnsi" w:eastAsia="Times New Roman" w:hAnsiTheme="minorHAnsi" w:cstheme="minorHAnsi"/>
          <w:color w:val="222222"/>
          <w:sz w:val="22"/>
          <w:szCs w:val="22"/>
          <w:lang w:val="en-US"/>
        </w:rPr>
        <w:t xml:space="preserve"> </w:t>
      </w:r>
      <w:r>
        <w:rPr>
          <w:rFonts w:asciiTheme="minorHAnsi" w:eastAsia="Times New Roman" w:hAnsiTheme="minorHAnsi" w:cstheme="minorHAnsi"/>
          <w:color w:val="222222"/>
          <w:sz w:val="22"/>
          <w:szCs w:val="22"/>
          <w:lang w:val="en-US"/>
        </w:rPr>
        <w:t xml:space="preserve">consequences on their state of health </w:t>
      </w:r>
      <w:r w:rsidRPr="00265248">
        <w:rPr>
          <w:rFonts w:asciiTheme="minorHAnsi" w:eastAsia="Times New Roman" w:hAnsiTheme="minorHAnsi" w:cstheme="minorHAnsi"/>
          <w:color w:val="222222"/>
          <w:sz w:val="22"/>
          <w:szCs w:val="22"/>
          <w:lang w:val="en-US"/>
        </w:rPr>
        <w:t xml:space="preserve">can also take several years. </w:t>
      </w:r>
      <w:r w:rsidR="00A42AB6">
        <w:rPr>
          <w:rFonts w:asciiTheme="minorHAnsi" w:eastAsia="Times New Roman" w:hAnsiTheme="minorHAnsi" w:cstheme="minorHAnsi"/>
          <w:color w:val="222222"/>
          <w:sz w:val="22"/>
          <w:szCs w:val="22"/>
          <w:lang w:val="en-US"/>
        </w:rPr>
        <w:t>For instance</w:t>
      </w:r>
      <w:r w:rsidRPr="00265248">
        <w:rPr>
          <w:rFonts w:asciiTheme="minorHAnsi" w:eastAsia="Times New Roman" w:hAnsiTheme="minorHAnsi" w:cstheme="minorHAnsi"/>
          <w:color w:val="222222"/>
          <w:sz w:val="22"/>
          <w:szCs w:val="22"/>
          <w:lang w:val="en-US"/>
        </w:rPr>
        <w:t>, the loss of vision for the victim</w:t>
      </w:r>
      <w:r w:rsidR="00A42AB6">
        <w:rPr>
          <w:rFonts w:asciiTheme="minorHAnsi" w:eastAsia="Times New Roman" w:hAnsiTheme="minorHAnsi" w:cstheme="minorHAnsi"/>
          <w:color w:val="222222"/>
          <w:sz w:val="22"/>
          <w:szCs w:val="22"/>
          <w:lang w:val="en-US"/>
        </w:rPr>
        <w:t>s</w:t>
      </w:r>
      <w:r w:rsidRPr="00265248">
        <w:rPr>
          <w:rFonts w:asciiTheme="minorHAnsi" w:eastAsia="Times New Roman" w:hAnsiTheme="minorHAnsi" w:cstheme="minorHAnsi"/>
          <w:color w:val="222222"/>
          <w:sz w:val="22"/>
          <w:szCs w:val="22"/>
          <w:lang w:val="en-US"/>
        </w:rPr>
        <w:t xml:space="preserve"> of a Lyell or Stevens-Johnson syndrome</w:t>
      </w:r>
      <w:r w:rsidR="00A42AB6">
        <w:rPr>
          <w:rFonts w:asciiTheme="minorHAnsi" w:eastAsia="Times New Roman" w:hAnsiTheme="minorHAnsi" w:cstheme="minorHAnsi"/>
          <w:color w:val="222222"/>
          <w:sz w:val="22"/>
          <w:szCs w:val="22"/>
          <w:lang w:val="en-US"/>
        </w:rPr>
        <w:t xml:space="preserve"> –</w:t>
      </w:r>
      <w:r w:rsidRPr="00265248">
        <w:rPr>
          <w:rFonts w:asciiTheme="minorHAnsi" w:eastAsia="Times New Roman" w:hAnsiTheme="minorHAnsi" w:cstheme="minorHAnsi"/>
          <w:color w:val="222222"/>
          <w:sz w:val="22"/>
          <w:szCs w:val="22"/>
          <w:lang w:val="en-US"/>
        </w:rPr>
        <w:t xml:space="preserve"> a</w:t>
      </w:r>
      <w:r w:rsidR="00A42AB6">
        <w:rPr>
          <w:rFonts w:asciiTheme="minorHAnsi" w:eastAsia="Times New Roman" w:hAnsiTheme="minorHAnsi" w:cstheme="minorHAnsi"/>
          <w:color w:val="222222"/>
          <w:sz w:val="22"/>
          <w:szCs w:val="22"/>
          <w:lang w:val="en-US"/>
        </w:rPr>
        <w:t xml:space="preserve"> </w:t>
      </w:r>
      <w:r w:rsidRPr="00265248">
        <w:rPr>
          <w:rFonts w:asciiTheme="minorHAnsi" w:eastAsia="Times New Roman" w:hAnsiTheme="minorHAnsi" w:cstheme="minorHAnsi"/>
          <w:color w:val="222222"/>
          <w:sz w:val="22"/>
          <w:szCs w:val="22"/>
          <w:lang w:val="en-US"/>
        </w:rPr>
        <w:t>very serious skin reaction</w:t>
      </w:r>
      <w:r w:rsidR="00A42AB6">
        <w:rPr>
          <w:rFonts w:asciiTheme="minorHAnsi" w:eastAsia="Times New Roman" w:hAnsiTheme="minorHAnsi" w:cstheme="minorHAnsi"/>
          <w:color w:val="222222"/>
          <w:sz w:val="22"/>
          <w:szCs w:val="22"/>
          <w:lang w:val="en-US"/>
        </w:rPr>
        <w:t xml:space="preserve"> –</w:t>
      </w:r>
      <w:r w:rsidRPr="00265248">
        <w:rPr>
          <w:rFonts w:asciiTheme="minorHAnsi" w:eastAsia="Times New Roman" w:hAnsiTheme="minorHAnsi" w:cstheme="minorHAnsi"/>
          <w:color w:val="222222"/>
          <w:sz w:val="22"/>
          <w:szCs w:val="22"/>
          <w:lang w:val="en-US"/>
        </w:rPr>
        <w:t xml:space="preserve"> can</w:t>
      </w:r>
      <w:r w:rsidR="00A42AB6">
        <w:rPr>
          <w:rFonts w:asciiTheme="minorHAnsi" w:eastAsia="Times New Roman" w:hAnsiTheme="minorHAnsi" w:cstheme="minorHAnsi"/>
          <w:color w:val="222222"/>
          <w:sz w:val="22"/>
          <w:szCs w:val="22"/>
          <w:lang w:val="en-US"/>
        </w:rPr>
        <w:t xml:space="preserve"> happen</w:t>
      </w:r>
      <w:r w:rsidRPr="00265248">
        <w:rPr>
          <w:rFonts w:asciiTheme="minorHAnsi" w:eastAsia="Times New Roman" w:hAnsiTheme="minorHAnsi" w:cstheme="minorHAnsi"/>
          <w:color w:val="222222"/>
          <w:sz w:val="22"/>
          <w:szCs w:val="22"/>
          <w:lang w:val="en-US"/>
        </w:rPr>
        <w:t xml:space="preserve"> several years, even decades</w:t>
      </w:r>
      <w:r w:rsidR="006B15AF">
        <w:rPr>
          <w:rFonts w:asciiTheme="minorHAnsi" w:eastAsia="Times New Roman" w:hAnsiTheme="minorHAnsi" w:cstheme="minorHAnsi"/>
          <w:color w:val="222222"/>
          <w:sz w:val="22"/>
          <w:szCs w:val="22"/>
          <w:lang w:val="en-US"/>
        </w:rPr>
        <w:t xml:space="preserve"> later</w:t>
      </w:r>
      <w:r w:rsidRPr="00265248">
        <w:rPr>
          <w:rFonts w:asciiTheme="minorHAnsi" w:eastAsia="Times New Roman" w:hAnsiTheme="minorHAnsi" w:cstheme="minorHAnsi"/>
          <w:color w:val="222222"/>
          <w:sz w:val="22"/>
          <w:szCs w:val="22"/>
          <w:lang w:val="en-US"/>
        </w:rPr>
        <w:t>.</w:t>
      </w:r>
    </w:p>
    <w:p w14:paraId="1EA657DC" w14:textId="61272D8B" w:rsidR="00265248" w:rsidRPr="00265248" w:rsidRDefault="00A42AB6" w:rsidP="00265248">
      <w:pPr>
        <w:pStyle w:val="Standard"/>
        <w:shd w:val="clear" w:color="auto" w:fill="FFFFFF"/>
        <w:jc w:val="both"/>
        <w:rPr>
          <w:rFonts w:asciiTheme="minorHAnsi" w:eastAsia="Times New Roman" w:hAnsiTheme="minorHAnsi" w:cstheme="minorHAnsi"/>
          <w:color w:val="222222"/>
          <w:sz w:val="22"/>
          <w:szCs w:val="22"/>
          <w:lang w:val="en-US"/>
        </w:rPr>
      </w:pPr>
      <w:r>
        <w:rPr>
          <w:rFonts w:asciiTheme="minorHAnsi" w:eastAsia="Times New Roman" w:hAnsiTheme="minorHAnsi" w:cstheme="minorHAnsi"/>
          <w:color w:val="222222"/>
          <w:sz w:val="22"/>
          <w:szCs w:val="22"/>
          <w:lang w:val="en-US"/>
        </w:rPr>
        <w:t>T</w:t>
      </w:r>
      <w:r w:rsidR="00265248" w:rsidRPr="00265248">
        <w:rPr>
          <w:rFonts w:asciiTheme="minorHAnsi" w:eastAsia="Times New Roman" w:hAnsiTheme="minorHAnsi" w:cstheme="minorHAnsi"/>
          <w:color w:val="222222"/>
          <w:sz w:val="22"/>
          <w:szCs w:val="22"/>
          <w:lang w:val="en-US"/>
        </w:rPr>
        <w:t xml:space="preserve">he derogatory extension of the </w:t>
      </w:r>
      <w:r>
        <w:rPr>
          <w:rFonts w:asciiTheme="minorHAnsi" w:eastAsia="Times New Roman" w:hAnsiTheme="minorHAnsi" w:cstheme="minorHAnsi"/>
          <w:color w:val="222222"/>
          <w:sz w:val="22"/>
          <w:szCs w:val="22"/>
          <w:lang w:val="en-US"/>
        </w:rPr>
        <w:t xml:space="preserve">time </w:t>
      </w:r>
      <w:r w:rsidR="00265248" w:rsidRPr="00265248">
        <w:rPr>
          <w:rFonts w:asciiTheme="minorHAnsi" w:eastAsia="Times New Roman" w:hAnsiTheme="minorHAnsi" w:cstheme="minorHAnsi"/>
          <w:color w:val="222222"/>
          <w:sz w:val="22"/>
          <w:szCs w:val="22"/>
          <w:lang w:val="en-US"/>
        </w:rPr>
        <w:t xml:space="preserve">period to 15 years </w:t>
      </w:r>
      <w:r>
        <w:rPr>
          <w:rFonts w:asciiTheme="minorHAnsi" w:eastAsia="Times New Roman" w:hAnsiTheme="minorHAnsi" w:cstheme="minorHAnsi"/>
          <w:color w:val="222222"/>
          <w:sz w:val="22"/>
          <w:szCs w:val="22"/>
          <w:lang w:val="en-US"/>
        </w:rPr>
        <w:t xml:space="preserve">for the extinction of rights </w:t>
      </w:r>
      <w:r w:rsidR="00265248" w:rsidRPr="00265248">
        <w:rPr>
          <w:rFonts w:asciiTheme="minorHAnsi" w:eastAsia="Times New Roman" w:hAnsiTheme="minorHAnsi" w:cstheme="minorHAnsi"/>
          <w:color w:val="222222"/>
          <w:sz w:val="22"/>
          <w:szCs w:val="22"/>
          <w:lang w:val="en-US"/>
        </w:rPr>
        <w:t xml:space="preserve">is insufficient, in particular </w:t>
      </w:r>
      <w:r>
        <w:rPr>
          <w:rFonts w:asciiTheme="minorHAnsi" w:eastAsia="Times New Roman" w:hAnsiTheme="minorHAnsi" w:cstheme="minorHAnsi"/>
          <w:color w:val="222222"/>
          <w:sz w:val="22"/>
          <w:szCs w:val="22"/>
          <w:lang w:val="en-US"/>
        </w:rPr>
        <w:t>for the victims of</w:t>
      </w:r>
      <w:r w:rsidR="00265248" w:rsidRPr="00265248">
        <w:rPr>
          <w:rFonts w:asciiTheme="minorHAnsi" w:eastAsia="Times New Roman" w:hAnsiTheme="minorHAnsi" w:cstheme="minorHAnsi"/>
          <w:color w:val="222222"/>
          <w:sz w:val="22"/>
          <w:szCs w:val="22"/>
          <w:lang w:val="en-US"/>
        </w:rPr>
        <w:t xml:space="preserve"> transgenerational </w:t>
      </w:r>
      <w:r>
        <w:rPr>
          <w:rFonts w:asciiTheme="minorHAnsi" w:eastAsia="Times New Roman" w:hAnsiTheme="minorHAnsi" w:cstheme="minorHAnsi"/>
          <w:color w:val="222222"/>
          <w:sz w:val="22"/>
          <w:szCs w:val="22"/>
          <w:lang w:val="en-US"/>
        </w:rPr>
        <w:t>damages,</w:t>
      </w:r>
      <w:r w:rsidR="00265248" w:rsidRPr="00265248">
        <w:rPr>
          <w:rFonts w:asciiTheme="minorHAnsi" w:eastAsia="Times New Roman" w:hAnsiTheme="minorHAnsi" w:cstheme="minorHAnsi"/>
          <w:color w:val="222222"/>
          <w:sz w:val="22"/>
          <w:szCs w:val="22"/>
          <w:lang w:val="en-US"/>
        </w:rPr>
        <w:t xml:space="preserve"> which</w:t>
      </w:r>
      <w:r>
        <w:rPr>
          <w:rFonts w:asciiTheme="minorHAnsi" w:eastAsia="Times New Roman" w:hAnsiTheme="minorHAnsi" w:cstheme="minorHAnsi"/>
          <w:color w:val="222222"/>
          <w:sz w:val="22"/>
          <w:szCs w:val="22"/>
          <w:lang w:val="en-US"/>
        </w:rPr>
        <w:t xml:space="preserve"> are sometimes evidenced</w:t>
      </w:r>
      <w:r w:rsidR="00265248" w:rsidRPr="00265248">
        <w:rPr>
          <w:rFonts w:asciiTheme="minorHAnsi" w:eastAsia="Times New Roman" w:hAnsiTheme="minorHAnsi" w:cstheme="minorHAnsi"/>
          <w:color w:val="222222"/>
          <w:sz w:val="22"/>
          <w:szCs w:val="22"/>
          <w:lang w:val="en-US"/>
        </w:rPr>
        <w:t xml:space="preserve"> </w:t>
      </w:r>
      <w:r>
        <w:rPr>
          <w:rFonts w:asciiTheme="minorHAnsi" w:eastAsia="Times New Roman" w:hAnsiTheme="minorHAnsi" w:cstheme="minorHAnsi"/>
          <w:color w:val="222222"/>
          <w:sz w:val="22"/>
          <w:szCs w:val="22"/>
          <w:lang w:val="en-US"/>
        </w:rPr>
        <w:t>at a very</w:t>
      </w:r>
      <w:r w:rsidR="00265248" w:rsidRPr="00265248">
        <w:rPr>
          <w:rFonts w:asciiTheme="minorHAnsi" w:eastAsia="Times New Roman" w:hAnsiTheme="minorHAnsi" w:cstheme="minorHAnsi"/>
          <w:color w:val="222222"/>
          <w:sz w:val="22"/>
          <w:szCs w:val="22"/>
          <w:lang w:val="en-US"/>
        </w:rPr>
        <w:t xml:space="preserve"> late</w:t>
      </w:r>
      <w:r>
        <w:rPr>
          <w:rFonts w:asciiTheme="minorHAnsi" w:eastAsia="Times New Roman" w:hAnsiTheme="minorHAnsi" w:cstheme="minorHAnsi"/>
          <w:color w:val="222222"/>
          <w:sz w:val="22"/>
          <w:szCs w:val="22"/>
          <w:lang w:val="en-US"/>
        </w:rPr>
        <w:t xml:space="preserve"> stage</w:t>
      </w:r>
      <w:r w:rsidR="00265248" w:rsidRPr="00265248">
        <w:rPr>
          <w:rFonts w:asciiTheme="minorHAnsi" w:eastAsia="Times New Roman" w:hAnsiTheme="minorHAnsi" w:cstheme="minorHAnsi"/>
          <w:color w:val="222222"/>
          <w:sz w:val="22"/>
          <w:szCs w:val="22"/>
          <w:lang w:val="en-US"/>
        </w:rPr>
        <w:t xml:space="preserve"> (e.g. infertility in girls whose mothers took </w:t>
      </w:r>
      <w:proofErr w:type="spellStart"/>
      <w:r w:rsidR="00265248" w:rsidRPr="00265248">
        <w:rPr>
          <w:rFonts w:asciiTheme="minorHAnsi" w:eastAsia="Times New Roman" w:hAnsiTheme="minorHAnsi" w:cstheme="minorHAnsi"/>
          <w:color w:val="222222"/>
          <w:sz w:val="22"/>
          <w:szCs w:val="22"/>
          <w:lang w:val="en-US"/>
        </w:rPr>
        <w:t>diethylboestrol</w:t>
      </w:r>
      <w:proofErr w:type="spellEnd"/>
      <w:r w:rsidR="00265248" w:rsidRPr="00265248">
        <w:rPr>
          <w:rFonts w:asciiTheme="minorHAnsi" w:eastAsia="Times New Roman" w:hAnsiTheme="minorHAnsi" w:cstheme="minorHAnsi"/>
          <w:color w:val="222222"/>
          <w:sz w:val="22"/>
          <w:szCs w:val="22"/>
          <w:lang w:val="en-US"/>
        </w:rPr>
        <w:t xml:space="preserve"> during pregnancy, </w:t>
      </w:r>
      <w:r>
        <w:rPr>
          <w:rFonts w:asciiTheme="minorHAnsi" w:eastAsia="Times New Roman" w:hAnsiTheme="minorHAnsi" w:cstheme="minorHAnsi"/>
          <w:color w:val="222222"/>
          <w:sz w:val="22"/>
          <w:szCs w:val="22"/>
          <w:lang w:val="en-US"/>
        </w:rPr>
        <w:t xml:space="preserve">or </w:t>
      </w:r>
      <w:r w:rsidR="00265248" w:rsidRPr="00265248">
        <w:rPr>
          <w:rFonts w:asciiTheme="minorHAnsi" w:eastAsia="Times New Roman" w:hAnsiTheme="minorHAnsi" w:cstheme="minorHAnsi"/>
          <w:color w:val="222222"/>
          <w:sz w:val="22"/>
          <w:szCs w:val="22"/>
          <w:lang w:val="en-US"/>
        </w:rPr>
        <w:t>autistic disorders in children whose mothers took sodium valproate during pregnancy).</w:t>
      </w:r>
    </w:p>
    <w:p w14:paraId="65F6AE4F" w14:textId="332CF8DA" w:rsidR="00586029" w:rsidRPr="00265248" w:rsidRDefault="00265248" w:rsidP="00265248">
      <w:pPr>
        <w:pStyle w:val="Standard"/>
        <w:shd w:val="clear" w:color="auto" w:fill="FFFFFF"/>
        <w:jc w:val="both"/>
        <w:rPr>
          <w:rFonts w:asciiTheme="minorHAnsi" w:eastAsia="Times New Roman" w:hAnsiTheme="minorHAnsi" w:cstheme="minorHAnsi"/>
          <w:color w:val="222222"/>
          <w:sz w:val="22"/>
          <w:szCs w:val="22"/>
          <w:lang w:val="en-US"/>
        </w:rPr>
      </w:pPr>
      <w:r w:rsidRPr="00265248">
        <w:rPr>
          <w:rFonts w:asciiTheme="minorHAnsi" w:eastAsia="Times New Roman" w:hAnsiTheme="minorHAnsi" w:cstheme="minorHAnsi"/>
          <w:color w:val="222222"/>
          <w:sz w:val="22"/>
          <w:szCs w:val="22"/>
          <w:lang w:val="en-US"/>
        </w:rPr>
        <w:t xml:space="preserve">We propose to introduce a single limitation period of 10 years, which </w:t>
      </w:r>
      <w:r w:rsidR="00A42AB6">
        <w:rPr>
          <w:rFonts w:asciiTheme="minorHAnsi" w:eastAsia="Times New Roman" w:hAnsiTheme="minorHAnsi" w:cstheme="minorHAnsi"/>
          <w:color w:val="222222"/>
          <w:sz w:val="22"/>
          <w:szCs w:val="22"/>
          <w:lang w:val="en-US"/>
        </w:rPr>
        <w:t>sh</w:t>
      </w:r>
      <w:r w:rsidRPr="00265248">
        <w:rPr>
          <w:rFonts w:asciiTheme="minorHAnsi" w:eastAsia="Times New Roman" w:hAnsiTheme="minorHAnsi" w:cstheme="minorHAnsi"/>
          <w:color w:val="222222"/>
          <w:sz w:val="22"/>
          <w:szCs w:val="22"/>
          <w:lang w:val="en-US"/>
        </w:rPr>
        <w:t>ould begin to run from the moment the victim became aware of the causal link between the damage and the product.</w:t>
      </w:r>
    </w:p>
    <w:p w14:paraId="2C50A0E1" w14:textId="77777777" w:rsidR="00265248" w:rsidRPr="00265248" w:rsidRDefault="00265248" w:rsidP="00265248">
      <w:pPr>
        <w:pStyle w:val="Standard"/>
        <w:shd w:val="clear" w:color="auto" w:fill="FFFFFF"/>
        <w:jc w:val="both"/>
        <w:rPr>
          <w:rFonts w:asciiTheme="minorHAnsi" w:eastAsia="Times New Roman" w:hAnsiTheme="minorHAnsi" w:cstheme="minorHAnsi"/>
          <w:color w:val="222222"/>
          <w:sz w:val="22"/>
          <w:szCs w:val="22"/>
          <w:lang w:val="en-US"/>
        </w:rPr>
      </w:pPr>
    </w:p>
    <w:tbl>
      <w:tblPr>
        <w:tblStyle w:val="Grilledutableau"/>
        <w:tblW w:w="0" w:type="auto"/>
        <w:tblLook w:val="04A0" w:firstRow="1" w:lastRow="0" w:firstColumn="1" w:lastColumn="0" w:noHBand="0" w:noVBand="1"/>
      </w:tblPr>
      <w:tblGrid>
        <w:gridCol w:w="4531"/>
        <w:gridCol w:w="4531"/>
      </w:tblGrid>
      <w:tr w:rsidR="0016767C" w:rsidRPr="008B65C6" w14:paraId="3D8558DB" w14:textId="77777777" w:rsidTr="0016767C">
        <w:tc>
          <w:tcPr>
            <w:tcW w:w="4531" w:type="dxa"/>
          </w:tcPr>
          <w:p w14:paraId="646C59B6" w14:textId="77777777" w:rsidR="00A42AB6" w:rsidRPr="00CD023A" w:rsidRDefault="00A42AB6" w:rsidP="00A42AB6">
            <w:pPr>
              <w:pStyle w:val="Standard"/>
              <w:jc w:val="both"/>
              <w:rPr>
                <w:rFonts w:asciiTheme="minorHAnsi" w:hAnsiTheme="minorHAnsi" w:cstheme="minorHAnsi"/>
                <w:b/>
                <w:bCs/>
                <w:sz w:val="22"/>
                <w:szCs w:val="22"/>
                <w:lang w:val="en-US"/>
              </w:rPr>
            </w:pPr>
            <w:r w:rsidRPr="00CD023A">
              <w:rPr>
                <w:rFonts w:asciiTheme="minorHAnsi" w:hAnsiTheme="minorHAnsi" w:cstheme="minorHAnsi"/>
                <w:b/>
                <w:bCs/>
                <w:sz w:val="22"/>
                <w:szCs w:val="22"/>
                <w:lang w:val="en-US"/>
              </w:rPr>
              <w:t xml:space="preserve">Article 14 </w:t>
            </w:r>
          </w:p>
          <w:p w14:paraId="269CB22E" w14:textId="2BBA9481" w:rsidR="00A42AB6" w:rsidRDefault="00A42AB6" w:rsidP="00A42AB6">
            <w:pPr>
              <w:pStyle w:val="Standard"/>
              <w:jc w:val="both"/>
              <w:rPr>
                <w:rFonts w:asciiTheme="minorHAnsi" w:hAnsiTheme="minorHAnsi" w:cstheme="minorHAnsi"/>
                <w:sz w:val="22"/>
                <w:szCs w:val="22"/>
                <w:lang w:val="en-US"/>
              </w:rPr>
            </w:pPr>
            <w:r w:rsidRPr="00CD023A">
              <w:rPr>
                <w:rFonts w:asciiTheme="minorHAnsi" w:hAnsiTheme="minorHAnsi" w:cstheme="minorHAnsi"/>
                <w:sz w:val="22"/>
                <w:szCs w:val="22"/>
                <w:lang w:val="en-US"/>
              </w:rPr>
              <w:t>Limitation periods</w:t>
            </w:r>
          </w:p>
          <w:p w14:paraId="276B9AEE" w14:textId="5E4F632E" w:rsidR="0016767C" w:rsidRPr="008B65C6" w:rsidRDefault="0016767C" w:rsidP="00586029">
            <w:pPr>
              <w:pStyle w:val="Standard"/>
              <w:jc w:val="both"/>
              <w:rPr>
                <w:rFonts w:asciiTheme="minorHAnsi" w:hAnsiTheme="minorHAnsi" w:cstheme="minorHAnsi"/>
                <w:sz w:val="22"/>
                <w:szCs w:val="22"/>
                <w:lang w:val="en-US"/>
              </w:rPr>
            </w:pPr>
            <w:r w:rsidRPr="008B65C6">
              <w:rPr>
                <w:rFonts w:asciiTheme="minorHAnsi" w:hAnsiTheme="minorHAnsi" w:cstheme="minorHAnsi"/>
                <w:sz w:val="22"/>
                <w:szCs w:val="22"/>
                <w:lang w:val="en-US"/>
              </w:rPr>
              <w:t xml:space="preserve">1. Member States shall ensure that a limitation period of </w:t>
            </w:r>
            <w:r w:rsidRPr="008B65C6">
              <w:rPr>
                <w:rFonts w:asciiTheme="minorHAnsi" w:hAnsiTheme="minorHAnsi" w:cstheme="minorHAnsi"/>
                <w:b/>
                <w:i/>
                <w:sz w:val="22"/>
                <w:szCs w:val="22"/>
                <w:lang w:val="en-US"/>
              </w:rPr>
              <w:t>3 years</w:t>
            </w:r>
            <w:r w:rsidRPr="008B65C6">
              <w:rPr>
                <w:rFonts w:asciiTheme="minorHAnsi" w:hAnsiTheme="minorHAnsi" w:cstheme="minorHAnsi"/>
                <w:sz w:val="22"/>
                <w:szCs w:val="22"/>
                <w:lang w:val="en-US"/>
              </w:rPr>
              <w:t xml:space="preserve"> applies to the initiating of proceedings for claiming compensation for damage falling within the scope of this Directive. The limitation period shall begin to run from the day on which the injured person became aware</w:t>
            </w:r>
            <w:r w:rsidRPr="008B65C6">
              <w:rPr>
                <w:rFonts w:asciiTheme="minorHAnsi" w:hAnsiTheme="minorHAnsi" w:cstheme="minorHAnsi"/>
                <w:b/>
                <w:bCs/>
                <w:i/>
                <w:iCs/>
                <w:sz w:val="22"/>
                <w:szCs w:val="22"/>
                <w:lang w:val="en-US"/>
              </w:rPr>
              <w:t>, or should reasonably have become aware,</w:t>
            </w:r>
            <w:r w:rsidRPr="008B65C6">
              <w:rPr>
                <w:rFonts w:asciiTheme="minorHAnsi" w:hAnsiTheme="minorHAnsi" w:cstheme="minorHAnsi"/>
                <w:sz w:val="22"/>
                <w:szCs w:val="22"/>
                <w:lang w:val="en-US"/>
              </w:rPr>
              <w:t xml:space="preserve"> of all of the following: </w:t>
            </w:r>
          </w:p>
          <w:p w14:paraId="66235FAB" w14:textId="77777777" w:rsidR="009A6B46" w:rsidRPr="008B65C6" w:rsidRDefault="0016767C" w:rsidP="00586029">
            <w:pPr>
              <w:pStyle w:val="Standard"/>
              <w:jc w:val="both"/>
              <w:rPr>
                <w:rFonts w:asciiTheme="minorHAnsi" w:hAnsiTheme="minorHAnsi" w:cstheme="minorHAnsi"/>
                <w:sz w:val="22"/>
                <w:szCs w:val="22"/>
                <w:lang w:val="en-US"/>
              </w:rPr>
            </w:pPr>
            <w:r w:rsidRPr="008B65C6">
              <w:rPr>
                <w:rFonts w:asciiTheme="minorHAnsi" w:hAnsiTheme="minorHAnsi" w:cstheme="minorHAnsi"/>
                <w:sz w:val="22"/>
                <w:szCs w:val="22"/>
                <w:lang w:val="en-US"/>
              </w:rPr>
              <w:t xml:space="preserve">(a) the damage; </w:t>
            </w:r>
          </w:p>
          <w:p w14:paraId="761A20B3" w14:textId="77777777" w:rsidR="009A6B46" w:rsidRPr="008B65C6" w:rsidRDefault="0016767C" w:rsidP="00586029">
            <w:pPr>
              <w:pStyle w:val="Standard"/>
              <w:jc w:val="both"/>
              <w:rPr>
                <w:rFonts w:asciiTheme="minorHAnsi" w:hAnsiTheme="minorHAnsi" w:cstheme="minorHAnsi"/>
                <w:sz w:val="22"/>
                <w:szCs w:val="22"/>
                <w:lang w:val="en-US"/>
              </w:rPr>
            </w:pPr>
            <w:r w:rsidRPr="008B65C6">
              <w:rPr>
                <w:rFonts w:asciiTheme="minorHAnsi" w:hAnsiTheme="minorHAnsi" w:cstheme="minorHAnsi"/>
                <w:sz w:val="22"/>
                <w:szCs w:val="22"/>
                <w:lang w:val="en-US"/>
              </w:rPr>
              <w:t xml:space="preserve">(b) the defectiveness; </w:t>
            </w:r>
          </w:p>
          <w:p w14:paraId="63655D59" w14:textId="77777777" w:rsidR="009A6B46" w:rsidRPr="008B65C6" w:rsidRDefault="0016767C" w:rsidP="00586029">
            <w:pPr>
              <w:pStyle w:val="Standard"/>
              <w:jc w:val="both"/>
              <w:rPr>
                <w:rFonts w:asciiTheme="minorHAnsi" w:hAnsiTheme="minorHAnsi" w:cstheme="minorHAnsi"/>
                <w:sz w:val="22"/>
                <w:szCs w:val="22"/>
                <w:lang w:val="en-US"/>
              </w:rPr>
            </w:pPr>
            <w:r w:rsidRPr="008B65C6">
              <w:rPr>
                <w:rFonts w:asciiTheme="minorHAnsi" w:hAnsiTheme="minorHAnsi" w:cstheme="minorHAnsi"/>
                <w:sz w:val="22"/>
                <w:szCs w:val="22"/>
                <w:lang w:val="en-US"/>
              </w:rPr>
              <w:t xml:space="preserve">(c) the identity of the relevant economic operator that can be held liable for the damage in accordance with Article 7. </w:t>
            </w:r>
          </w:p>
          <w:p w14:paraId="42BB15F2" w14:textId="77777777" w:rsidR="0016767C" w:rsidRPr="008B65C6" w:rsidRDefault="0016767C" w:rsidP="00586029">
            <w:pPr>
              <w:pStyle w:val="Standard"/>
              <w:jc w:val="both"/>
              <w:rPr>
                <w:rFonts w:asciiTheme="minorHAnsi" w:eastAsia="Times New Roman" w:hAnsiTheme="minorHAnsi" w:cstheme="minorHAnsi"/>
                <w:color w:val="222222"/>
                <w:sz w:val="22"/>
                <w:szCs w:val="22"/>
                <w:lang w:val="en-US"/>
              </w:rPr>
            </w:pPr>
            <w:r w:rsidRPr="008B65C6">
              <w:rPr>
                <w:rFonts w:asciiTheme="minorHAnsi" w:hAnsiTheme="minorHAnsi" w:cstheme="minorHAnsi"/>
                <w:sz w:val="22"/>
                <w:szCs w:val="22"/>
                <w:lang w:val="en-US"/>
              </w:rPr>
              <w:t>The laws of Member States regulating suspension or interruption of the limitation period referred to in the first subparagraph shall not be affected by this Directive.</w:t>
            </w:r>
          </w:p>
        </w:tc>
        <w:tc>
          <w:tcPr>
            <w:tcW w:w="4531" w:type="dxa"/>
          </w:tcPr>
          <w:p w14:paraId="29869455" w14:textId="77777777" w:rsidR="00A42AB6" w:rsidRPr="00CD023A" w:rsidRDefault="00A42AB6" w:rsidP="00A42AB6">
            <w:pPr>
              <w:pStyle w:val="Standard"/>
              <w:jc w:val="both"/>
              <w:rPr>
                <w:rFonts w:asciiTheme="minorHAnsi" w:hAnsiTheme="minorHAnsi" w:cstheme="minorHAnsi"/>
                <w:b/>
                <w:bCs/>
                <w:sz w:val="22"/>
                <w:szCs w:val="22"/>
                <w:lang w:val="en-US"/>
              </w:rPr>
            </w:pPr>
            <w:r w:rsidRPr="00CD023A">
              <w:rPr>
                <w:rFonts w:asciiTheme="minorHAnsi" w:hAnsiTheme="minorHAnsi" w:cstheme="minorHAnsi"/>
                <w:b/>
                <w:bCs/>
                <w:sz w:val="22"/>
                <w:szCs w:val="22"/>
                <w:lang w:val="en-US"/>
              </w:rPr>
              <w:t xml:space="preserve">Article 14 </w:t>
            </w:r>
          </w:p>
          <w:p w14:paraId="25EFF365" w14:textId="2194D74B" w:rsidR="00A42AB6" w:rsidRDefault="00A42AB6" w:rsidP="009A6B46">
            <w:pPr>
              <w:pStyle w:val="Standard"/>
              <w:jc w:val="both"/>
              <w:rPr>
                <w:rFonts w:asciiTheme="minorHAnsi" w:hAnsiTheme="minorHAnsi" w:cstheme="minorHAnsi"/>
                <w:sz w:val="22"/>
                <w:szCs w:val="22"/>
                <w:lang w:val="en-US"/>
              </w:rPr>
            </w:pPr>
            <w:r w:rsidRPr="00CD023A">
              <w:rPr>
                <w:rFonts w:asciiTheme="minorHAnsi" w:hAnsiTheme="minorHAnsi" w:cstheme="minorHAnsi"/>
                <w:sz w:val="22"/>
                <w:szCs w:val="22"/>
                <w:lang w:val="en-US"/>
              </w:rPr>
              <w:t>Limitation periods</w:t>
            </w:r>
          </w:p>
          <w:p w14:paraId="1E45ACFF" w14:textId="229AC122" w:rsidR="009A6B46" w:rsidRPr="008B65C6" w:rsidRDefault="009A6B46" w:rsidP="009A6B46">
            <w:pPr>
              <w:pStyle w:val="Standard"/>
              <w:jc w:val="both"/>
              <w:rPr>
                <w:rFonts w:asciiTheme="minorHAnsi" w:hAnsiTheme="minorHAnsi" w:cstheme="minorHAnsi"/>
                <w:sz w:val="22"/>
                <w:szCs w:val="22"/>
                <w:lang w:val="en-US"/>
              </w:rPr>
            </w:pPr>
            <w:r w:rsidRPr="008B65C6">
              <w:rPr>
                <w:rFonts w:asciiTheme="minorHAnsi" w:hAnsiTheme="minorHAnsi" w:cstheme="minorHAnsi"/>
                <w:sz w:val="22"/>
                <w:szCs w:val="22"/>
                <w:lang w:val="en-US"/>
              </w:rPr>
              <w:t xml:space="preserve">1. Member States shall ensure that a limitation period of </w:t>
            </w:r>
            <w:r w:rsidRPr="008B65C6">
              <w:rPr>
                <w:rFonts w:asciiTheme="minorHAnsi" w:hAnsiTheme="minorHAnsi" w:cstheme="minorHAnsi"/>
                <w:b/>
                <w:i/>
                <w:sz w:val="22"/>
                <w:szCs w:val="22"/>
                <w:lang w:val="en-US"/>
              </w:rPr>
              <w:t>10 years</w:t>
            </w:r>
            <w:r w:rsidRPr="008B65C6">
              <w:rPr>
                <w:rFonts w:asciiTheme="minorHAnsi" w:hAnsiTheme="minorHAnsi" w:cstheme="minorHAnsi"/>
                <w:sz w:val="22"/>
                <w:szCs w:val="22"/>
                <w:lang w:val="en-US"/>
              </w:rPr>
              <w:t xml:space="preserve"> applies to the initiating of proceedings for claiming compensation for damage falling within the scope of this Directive. The limitation period shall begin to run from the day on which the injured person became aware</w:t>
            </w:r>
            <w:r w:rsidR="00C26D2B" w:rsidRPr="008B65C6">
              <w:rPr>
                <w:rFonts w:asciiTheme="minorHAnsi" w:hAnsiTheme="minorHAnsi" w:cstheme="minorHAnsi"/>
                <w:b/>
                <w:bCs/>
                <w:i/>
                <w:iCs/>
                <w:sz w:val="22"/>
                <w:szCs w:val="22"/>
                <w:lang w:val="en-US"/>
              </w:rPr>
              <w:t xml:space="preserve">, </w:t>
            </w:r>
            <w:r w:rsidR="00C26D2B" w:rsidRPr="008B65C6">
              <w:rPr>
                <w:rFonts w:asciiTheme="minorHAnsi" w:hAnsiTheme="minorHAnsi" w:cstheme="minorHAnsi"/>
                <w:b/>
                <w:bCs/>
                <w:i/>
                <w:iCs/>
                <w:strike/>
                <w:sz w:val="22"/>
                <w:szCs w:val="22"/>
                <w:lang w:val="en-US"/>
              </w:rPr>
              <w:t>or should reasonably have become aware</w:t>
            </w:r>
            <w:r w:rsidR="00C26D2B" w:rsidRPr="008B65C6">
              <w:rPr>
                <w:rFonts w:asciiTheme="minorHAnsi" w:hAnsiTheme="minorHAnsi" w:cstheme="minorHAnsi"/>
                <w:b/>
                <w:bCs/>
                <w:i/>
                <w:iCs/>
                <w:sz w:val="22"/>
                <w:szCs w:val="22"/>
                <w:lang w:val="en-US"/>
              </w:rPr>
              <w:t>,</w:t>
            </w:r>
            <w:r w:rsidR="00C26D2B" w:rsidRPr="008B65C6">
              <w:rPr>
                <w:rFonts w:asciiTheme="minorHAnsi" w:hAnsiTheme="minorHAnsi" w:cstheme="minorHAnsi"/>
                <w:sz w:val="22"/>
                <w:szCs w:val="22"/>
                <w:lang w:val="en-US"/>
              </w:rPr>
              <w:t xml:space="preserve"> </w:t>
            </w:r>
            <w:r w:rsidRPr="008B65C6">
              <w:rPr>
                <w:rFonts w:asciiTheme="minorHAnsi" w:hAnsiTheme="minorHAnsi" w:cstheme="minorHAnsi"/>
                <w:sz w:val="22"/>
                <w:szCs w:val="22"/>
                <w:lang w:val="en-US"/>
              </w:rPr>
              <w:t xml:space="preserve">of all of the following: </w:t>
            </w:r>
          </w:p>
          <w:p w14:paraId="720A826F" w14:textId="77777777" w:rsidR="009A6B46" w:rsidRPr="008B65C6" w:rsidRDefault="009A6B46" w:rsidP="009A6B46">
            <w:pPr>
              <w:pStyle w:val="Standard"/>
              <w:jc w:val="both"/>
              <w:rPr>
                <w:rFonts w:asciiTheme="minorHAnsi" w:hAnsiTheme="minorHAnsi" w:cstheme="minorHAnsi"/>
                <w:sz w:val="22"/>
                <w:szCs w:val="22"/>
                <w:lang w:val="en-US"/>
              </w:rPr>
            </w:pPr>
            <w:r w:rsidRPr="008B65C6">
              <w:rPr>
                <w:rFonts w:asciiTheme="minorHAnsi" w:hAnsiTheme="minorHAnsi" w:cstheme="minorHAnsi"/>
                <w:sz w:val="22"/>
                <w:szCs w:val="22"/>
                <w:lang w:val="en-US"/>
              </w:rPr>
              <w:t xml:space="preserve">(a) the damage; </w:t>
            </w:r>
          </w:p>
          <w:p w14:paraId="183AC753" w14:textId="77777777" w:rsidR="009A6B46" w:rsidRPr="008B65C6" w:rsidRDefault="009A6B46" w:rsidP="009A6B46">
            <w:pPr>
              <w:pStyle w:val="Standard"/>
              <w:jc w:val="both"/>
              <w:rPr>
                <w:rFonts w:asciiTheme="minorHAnsi" w:hAnsiTheme="minorHAnsi" w:cstheme="minorHAnsi"/>
                <w:sz w:val="22"/>
                <w:szCs w:val="22"/>
                <w:lang w:val="en-US"/>
              </w:rPr>
            </w:pPr>
            <w:r w:rsidRPr="008B65C6">
              <w:rPr>
                <w:rFonts w:asciiTheme="minorHAnsi" w:hAnsiTheme="minorHAnsi" w:cstheme="minorHAnsi"/>
                <w:sz w:val="22"/>
                <w:szCs w:val="22"/>
                <w:lang w:val="en-US"/>
              </w:rPr>
              <w:t xml:space="preserve">(b) the defectiveness; </w:t>
            </w:r>
          </w:p>
          <w:p w14:paraId="21FD7D51" w14:textId="77777777" w:rsidR="009A6B46" w:rsidRPr="008B65C6" w:rsidRDefault="009A6B46" w:rsidP="009A6B46">
            <w:pPr>
              <w:pStyle w:val="Standard"/>
              <w:jc w:val="both"/>
              <w:rPr>
                <w:rFonts w:asciiTheme="minorHAnsi" w:hAnsiTheme="minorHAnsi" w:cstheme="minorHAnsi"/>
                <w:sz w:val="22"/>
                <w:szCs w:val="22"/>
                <w:lang w:val="en-US"/>
              </w:rPr>
            </w:pPr>
            <w:r w:rsidRPr="008B65C6">
              <w:rPr>
                <w:rFonts w:asciiTheme="minorHAnsi" w:hAnsiTheme="minorHAnsi" w:cstheme="minorHAnsi"/>
                <w:sz w:val="22"/>
                <w:szCs w:val="22"/>
                <w:lang w:val="en-US"/>
              </w:rPr>
              <w:t xml:space="preserve">(c) the identity of the relevant economic operator that can be held liable for the damage in accordance with Article 7. </w:t>
            </w:r>
          </w:p>
          <w:p w14:paraId="14BD4ED1" w14:textId="77777777" w:rsidR="0016767C" w:rsidRPr="008B65C6" w:rsidRDefault="009A6B46" w:rsidP="00586029">
            <w:pPr>
              <w:pStyle w:val="Standard"/>
              <w:jc w:val="both"/>
              <w:rPr>
                <w:rFonts w:asciiTheme="minorHAnsi" w:eastAsia="Times New Roman" w:hAnsiTheme="minorHAnsi" w:cstheme="minorHAnsi"/>
                <w:color w:val="222222"/>
                <w:sz w:val="22"/>
                <w:szCs w:val="22"/>
                <w:lang w:val="en-US"/>
              </w:rPr>
            </w:pPr>
            <w:r w:rsidRPr="008B65C6">
              <w:rPr>
                <w:rFonts w:asciiTheme="minorHAnsi" w:hAnsiTheme="minorHAnsi" w:cstheme="minorHAnsi"/>
                <w:sz w:val="22"/>
                <w:szCs w:val="22"/>
                <w:lang w:val="en-US"/>
              </w:rPr>
              <w:t>The laws of Member States regulating suspension or interruption of the limitation period referred to in the first subparagraph shall not be affected by this Directive.</w:t>
            </w:r>
          </w:p>
        </w:tc>
      </w:tr>
      <w:tr w:rsidR="0016767C" w:rsidRPr="008B65C6" w14:paraId="72F2D5B7" w14:textId="77777777" w:rsidTr="0016767C">
        <w:tc>
          <w:tcPr>
            <w:tcW w:w="4531" w:type="dxa"/>
          </w:tcPr>
          <w:p w14:paraId="3FAE947D" w14:textId="77777777" w:rsidR="0016767C" w:rsidRPr="008B65C6" w:rsidRDefault="009A6B46" w:rsidP="00586029">
            <w:pPr>
              <w:pStyle w:val="Standard"/>
              <w:jc w:val="both"/>
              <w:rPr>
                <w:rFonts w:asciiTheme="minorHAnsi" w:eastAsia="Times New Roman" w:hAnsiTheme="minorHAnsi" w:cstheme="minorHAnsi"/>
                <w:color w:val="222222"/>
                <w:sz w:val="22"/>
                <w:szCs w:val="22"/>
                <w:lang w:val="en-US"/>
              </w:rPr>
            </w:pPr>
            <w:r w:rsidRPr="008B65C6">
              <w:rPr>
                <w:rFonts w:asciiTheme="minorHAnsi" w:hAnsiTheme="minorHAnsi" w:cstheme="minorHAnsi"/>
                <w:sz w:val="22"/>
                <w:szCs w:val="22"/>
                <w:lang w:val="en-US"/>
              </w:rPr>
              <w:t>2. Member States shall ensure that the rights conferred upon the injured person pursuant to this Directive are extinguished upon the expiry of a limitation period of 10 years from the date on which the actual defective product which caused the damage was placed on the market, put into service or substantially modified as referred to in Article 7(4), unless a claimant has, in the meantime, initiated proceedings before a national court against an economic operator that can be held liable pursuant to Article 7.</w:t>
            </w:r>
          </w:p>
        </w:tc>
        <w:tc>
          <w:tcPr>
            <w:tcW w:w="4531" w:type="dxa"/>
          </w:tcPr>
          <w:p w14:paraId="7522D61C" w14:textId="77777777" w:rsidR="0016767C" w:rsidRPr="008B65C6" w:rsidRDefault="00FB69AB" w:rsidP="00586029">
            <w:pPr>
              <w:pStyle w:val="Standard"/>
              <w:jc w:val="both"/>
              <w:rPr>
                <w:rFonts w:asciiTheme="minorHAnsi" w:eastAsia="Times New Roman" w:hAnsiTheme="minorHAnsi" w:cstheme="minorHAnsi"/>
                <w:b/>
                <w:bCs/>
                <w:i/>
                <w:iCs/>
                <w:color w:val="222222"/>
                <w:sz w:val="22"/>
                <w:szCs w:val="22"/>
                <w:lang w:val="en-US"/>
              </w:rPr>
            </w:pPr>
            <w:r w:rsidRPr="008B65C6">
              <w:rPr>
                <w:rFonts w:asciiTheme="minorHAnsi" w:eastAsia="Times New Roman" w:hAnsiTheme="minorHAnsi" w:cstheme="minorHAnsi"/>
                <w:b/>
                <w:bCs/>
                <w:i/>
                <w:iCs/>
                <w:color w:val="222222"/>
                <w:sz w:val="22"/>
                <w:szCs w:val="22"/>
                <w:lang w:val="en-US"/>
              </w:rPr>
              <w:t>Deleted</w:t>
            </w:r>
          </w:p>
          <w:p w14:paraId="5586626C" w14:textId="77777777" w:rsidR="001C1413" w:rsidRPr="008B65C6" w:rsidRDefault="001C1413" w:rsidP="00586029">
            <w:pPr>
              <w:pStyle w:val="Standard"/>
              <w:jc w:val="both"/>
              <w:rPr>
                <w:rFonts w:asciiTheme="minorHAnsi" w:eastAsia="Times New Roman" w:hAnsiTheme="minorHAnsi" w:cstheme="minorHAnsi"/>
                <w:b/>
                <w:bCs/>
                <w:i/>
                <w:iCs/>
                <w:color w:val="222222"/>
                <w:sz w:val="22"/>
                <w:szCs w:val="22"/>
                <w:lang w:val="en-US"/>
              </w:rPr>
            </w:pPr>
          </w:p>
          <w:p w14:paraId="27834B77" w14:textId="682FEE45" w:rsidR="001C1413" w:rsidRPr="008B65C6" w:rsidRDefault="001C1413" w:rsidP="00586029">
            <w:pPr>
              <w:pStyle w:val="Standard"/>
              <w:jc w:val="both"/>
              <w:rPr>
                <w:rFonts w:asciiTheme="minorHAnsi" w:eastAsia="Times New Roman" w:hAnsiTheme="minorHAnsi" w:cstheme="minorHAnsi"/>
                <w:b/>
                <w:bCs/>
                <w:i/>
                <w:iCs/>
                <w:color w:val="222222"/>
                <w:sz w:val="22"/>
                <w:szCs w:val="22"/>
                <w:lang w:val="en-US"/>
              </w:rPr>
            </w:pPr>
          </w:p>
        </w:tc>
      </w:tr>
      <w:tr w:rsidR="0016767C" w:rsidRPr="008B65C6" w14:paraId="3FE0FFEC" w14:textId="77777777" w:rsidTr="0016767C">
        <w:tc>
          <w:tcPr>
            <w:tcW w:w="4531" w:type="dxa"/>
          </w:tcPr>
          <w:p w14:paraId="68FDC43D" w14:textId="77777777" w:rsidR="0016767C" w:rsidRPr="008B65C6" w:rsidRDefault="009A6B46" w:rsidP="00586029">
            <w:pPr>
              <w:pStyle w:val="Standard"/>
              <w:jc w:val="both"/>
              <w:rPr>
                <w:rFonts w:asciiTheme="minorHAnsi" w:eastAsia="Times New Roman" w:hAnsiTheme="minorHAnsi" w:cstheme="minorHAnsi"/>
                <w:color w:val="222222"/>
                <w:sz w:val="22"/>
                <w:szCs w:val="22"/>
                <w:lang w:val="en-US"/>
              </w:rPr>
            </w:pPr>
            <w:r w:rsidRPr="008B65C6">
              <w:rPr>
                <w:rFonts w:asciiTheme="minorHAnsi" w:hAnsiTheme="minorHAnsi" w:cstheme="minorHAnsi"/>
                <w:sz w:val="22"/>
                <w:szCs w:val="22"/>
                <w:lang w:val="en-US"/>
              </w:rPr>
              <w:t xml:space="preserve">3. By way of exception from paragraph 2, where an injured person has not been able to initiate proceedings within 10 years due to the latency of a personal injury, the rights conferred upon the injured person pursuant to this Directive shall be extinguished upon the expiry of a limitation </w:t>
            </w:r>
            <w:r w:rsidRPr="008B65C6">
              <w:rPr>
                <w:rFonts w:asciiTheme="minorHAnsi" w:hAnsiTheme="minorHAnsi" w:cstheme="minorHAnsi"/>
                <w:sz w:val="22"/>
                <w:szCs w:val="22"/>
                <w:lang w:val="en-US"/>
              </w:rPr>
              <w:lastRenderedPageBreak/>
              <w:t>period of 15 years.</w:t>
            </w:r>
          </w:p>
        </w:tc>
        <w:tc>
          <w:tcPr>
            <w:tcW w:w="4531" w:type="dxa"/>
          </w:tcPr>
          <w:p w14:paraId="2B387C0C" w14:textId="77777777" w:rsidR="0016767C" w:rsidRPr="008B65C6" w:rsidRDefault="00FB69AB" w:rsidP="00586029">
            <w:pPr>
              <w:pStyle w:val="Standard"/>
              <w:jc w:val="both"/>
              <w:rPr>
                <w:rFonts w:asciiTheme="minorHAnsi" w:eastAsia="Times New Roman" w:hAnsiTheme="minorHAnsi" w:cstheme="minorHAnsi"/>
                <w:b/>
                <w:bCs/>
                <w:i/>
                <w:iCs/>
                <w:color w:val="222222"/>
                <w:sz w:val="22"/>
                <w:szCs w:val="22"/>
                <w:lang w:val="en-US"/>
              </w:rPr>
            </w:pPr>
            <w:r w:rsidRPr="008B65C6">
              <w:rPr>
                <w:rFonts w:asciiTheme="minorHAnsi" w:eastAsia="Times New Roman" w:hAnsiTheme="minorHAnsi" w:cstheme="minorHAnsi"/>
                <w:b/>
                <w:bCs/>
                <w:i/>
                <w:iCs/>
                <w:color w:val="222222"/>
                <w:sz w:val="22"/>
                <w:szCs w:val="22"/>
                <w:lang w:val="en-US"/>
              </w:rPr>
              <w:lastRenderedPageBreak/>
              <w:t>Deleted</w:t>
            </w:r>
          </w:p>
          <w:p w14:paraId="3EA331BB" w14:textId="77777777" w:rsidR="001C1413" w:rsidRPr="008B65C6" w:rsidRDefault="001C1413" w:rsidP="00586029">
            <w:pPr>
              <w:pStyle w:val="Standard"/>
              <w:jc w:val="both"/>
              <w:rPr>
                <w:rFonts w:asciiTheme="minorHAnsi" w:eastAsia="Times New Roman" w:hAnsiTheme="minorHAnsi" w:cstheme="minorHAnsi"/>
                <w:color w:val="222222"/>
                <w:sz w:val="22"/>
                <w:szCs w:val="22"/>
                <w:lang w:val="en-US"/>
              </w:rPr>
            </w:pPr>
          </w:p>
          <w:p w14:paraId="09A46413" w14:textId="210450B9" w:rsidR="001C1413" w:rsidRPr="008B65C6" w:rsidRDefault="001C1413" w:rsidP="00586029">
            <w:pPr>
              <w:pStyle w:val="Standard"/>
              <w:jc w:val="both"/>
              <w:rPr>
                <w:rFonts w:asciiTheme="minorHAnsi" w:eastAsia="Times New Roman" w:hAnsiTheme="minorHAnsi" w:cstheme="minorHAnsi"/>
                <w:color w:val="222222"/>
                <w:sz w:val="22"/>
                <w:szCs w:val="22"/>
                <w:lang w:val="en-US"/>
              </w:rPr>
            </w:pPr>
          </w:p>
          <w:p w14:paraId="487011EE" w14:textId="77777777" w:rsidR="001C1413" w:rsidRPr="008B65C6" w:rsidRDefault="001C1413" w:rsidP="00586029">
            <w:pPr>
              <w:pStyle w:val="Standard"/>
              <w:jc w:val="both"/>
              <w:rPr>
                <w:rFonts w:asciiTheme="minorHAnsi" w:eastAsia="Times New Roman" w:hAnsiTheme="minorHAnsi" w:cstheme="minorHAnsi"/>
                <w:color w:val="222222"/>
                <w:sz w:val="22"/>
                <w:szCs w:val="22"/>
                <w:lang w:val="en-US"/>
              </w:rPr>
            </w:pPr>
          </w:p>
          <w:p w14:paraId="7B7BB867" w14:textId="77777777" w:rsidR="001C1413" w:rsidRPr="008B65C6" w:rsidRDefault="001C1413" w:rsidP="00586029">
            <w:pPr>
              <w:pStyle w:val="Standard"/>
              <w:jc w:val="both"/>
              <w:rPr>
                <w:rFonts w:asciiTheme="minorHAnsi" w:eastAsia="Times New Roman" w:hAnsiTheme="minorHAnsi" w:cstheme="minorHAnsi"/>
                <w:color w:val="222222"/>
                <w:sz w:val="22"/>
                <w:szCs w:val="22"/>
                <w:lang w:val="en-US"/>
              </w:rPr>
            </w:pPr>
          </w:p>
          <w:p w14:paraId="3E6A61E5" w14:textId="77777777" w:rsidR="001C1413" w:rsidRPr="008B65C6" w:rsidRDefault="001C1413" w:rsidP="00586029">
            <w:pPr>
              <w:pStyle w:val="Standard"/>
              <w:jc w:val="both"/>
              <w:rPr>
                <w:rFonts w:asciiTheme="minorHAnsi" w:eastAsia="Times New Roman" w:hAnsiTheme="minorHAnsi" w:cstheme="minorHAnsi"/>
                <w:color w:val="222222"/>
                <w:sz w:val="22"/>
                <w:szCs w:val="22"/>
                <w:lang w:val="en-US"/>
              </w:rPr>
            </w:pPr>
          </w:p>
          <w:p w14:paraId="62C78E55" w14:textId="77777777" w:rsidR="001C1413" w:rsidRPr="008B65C6" w:rsidRDefault="001C1413" w:rsidP="00586029">
            <w:pPr>
              <w:pStyle w:val="Standard"/>
              <w:jc w:val="both"/>
              <w:rPr>
                <w:rFonts w:asciiTheme="minorHAnsi" w:eastAsia="Times New Roman" w:hAnsiTheme="minorHAnsi" w:cstheme="minorHAnsi"/>
                <w:color w:val="222222"/>
                <w:sz w:val="22"/>
                <w:szCs w:val="22"/>
                <w:lang w:val="en-US"/>
              </w:rPr>
            </w:pPr>
          </w:p>
          <w:p w14:paraId="6A5E549D" w14:textId="7BDB7FE4" w:rsidR="001C1413" w:rsidRPr="008B65C6" w:rsidRDefault="001C1413" w:rsidP="00586029">
            <w:pPr>
              <w:pStyle w:val="Standard"/>
              <w:jc w:val="both"/>
              <w:rPr>
                <w:rFonts w:asciiTheme="minorHAnsi" w:eastAsia="Times New Roman" w:hAnsiTheme="minorHAnsi" w:cstheme="minorHAnsi"/>
                <w:color w:val="222222"/>
                <w:sz w:val="22"/>
                <w:szCs w:val="22"/>
                <w:lang w:val="en-US"/>
              </w:rPr>
            </w:pPr>
            <w:r w:rsidRPr="008B65C6">
              <w:rPr>
                <w:rFonts w:asciiTheme="minorHAnsi" w:eastAsia="Times New Roman" w:hAnsiTheme="minorHAnsi" w:cstheme="minorHAnsi"/>
                <w:color w:val="222222"/>
                <w:sz w:val="22"/>
                <w:szCs w:val="22"/>
                <w:lang w:val="en-US"/>
              </w:rPr>
              <w:t>.</w:t>
            </w:r>
          </w:p>
        </w:tc>
      </w:tr>
      <w:tr w:rsidR="004A3EA2" w:rsidRPr="008B65C6" w14:paraId="42E71D41" w14:textId="77777777" w:rsidTr="00A95E1E">
        <w:tc>
          <w:tcPr>
            <w:tcW w:w="4531" w:type="dxa"/>
          </w:tcPr>
          <w:p w14:paraId="68F19890" w14:textId="77777777" w:rsidR="004A3EA2" w:rsidRPr="008B65C6" w:rsidRDefault="004A3EA2" w:rsidP="004A3EA2">
            <w:pPr>
              <w:pStyle w:val="Standard"/>
              <w:jc w:val="both"/>
              <w:rPr>
                <w:rFonts w:asciiTheme="minorHAnsi" w:eastAsia="Times New Roman" w:hAnsiTheme="minorHAnsi" w:cstheme="minorHAnsi"/>
                <w:color w:val="222222"/>
                <w:sz w:val="22"/>
                <w:szCs w:val="22"/>
                <w:lang w:val="en-US"/>
              </w:rPr>
            </w:pPr>
          </w:p>
        </w:tc>
        <w:tc>
          <w:tcPr>
            <w:tcW w:w="4531" w:type="dxa"/>
          </w:tcPr>
          <w:p w14:paraId="4EE12E28" w14:textId="543EAFCE" w:rsidR="00142D50" w:rsidRPr="00142D50" w:rsidRDefault="00142D50" w:rsidP="004A3EA2">
            <w:pPr>
              <w:pStyle w:val="Standard"/>
              <w:jc w:val="both"/>
              <w:rPr>
                <w:rFonts w:asciiTheme="minorHAnsi" w:hAnsiTheme="minorHAnsi" w:cstheme="minorHAnsi"/>
                <w:b/>
                <w:iCs/>
                <w:sz w:val="22"/>
                <w:szCs w:val="22"/>
                <w:highlight w:val="yellow"/>
                <w:lang w:val="en-US"/>
              </w:rPr>
            </w:pPr>
            <w:r w:rsidRPr="00142D50">
              <w:rPr>
                <w:rFonts w:asciiTheme="minorHAnsi" w:eastAsia="Times New Roman" w:hAnsiTheme="minorHAnsi" w:cstheme="minorHAnsi"/>
                <w:b/>
                <w:bCs/>
                <w:color w:val="222222"/>
                <w:sz w:val="22"/>
                <w:szCs w:val="22"/>
                <w:highlight w:val="lightGray"/>
                <w:lang w:val="en-US"/>
              </w:rPr>
              <w:t>ALTERNATIVE PROPOSAL: New article</w:t>
            </w:r>
          </w:p>
          <w:p w14:paraId="3F41E79A" w14:textId="77777777" w:rsidR="00142D50" w:rsidRDefault="00142D50" w:rsidP="004A3EA2">
            <w:pPr>
              <w:pStyle w:val="Standard"/>
              <w:jc w:val="both"/>
              <w:rPr>
                <w:rFonts w:asciiTheme="minorHAnsi" w:hAnsiTheme="minorHAnsi" w:cstheme="minorHAnsi"/>
                <w:b/>
                <w:i/>
                <w:sz w:val="22"/>
                <w:szCs w:val="22"/>
                <w:highlight w:val="yellow"/>
                <w:lang w:val="en-US"/>
              </w:rPr>
            </w:pPr>
          </w:p>
          <w:p w14:paraId="770E3934" w14:textId="31021F8B" w:rsidR="004A3EA2" w:rsidRPr="000E686B" w:rsidRDefault="004A3EA2" w:rsidP="004A3EA2">
            <w:pPr>
              <w:pStyle w:val="Standard"/>
              <w:jc w:val="both"/>
              <w:rPr>
                <w:rFonts w:asciiTheme="minorHAnsi" w:hAnsiTheme="minorHAnsi" w:cstheme="minorHAnsi"/>
                <w:b/>
                <w:i/>
                <w:sz w:val="22"/>
                <w:szCs w:val="22"/>
                <w:highlight w:val="lightGray"/>
                <w:lang w:val="en-US"/>
              </w:rPr>
            </w:pPr>
            <w:r w:rsidRPr="000E686B">
              <w:rPr>
                <w:rFonts w:asciiTheme="minorHAnsi" w:hAnsiTheme="minorHAnsi" w:cstheme="minorHAnsi"/>
                <w:b/>
                <w:i/>
                <w:sz w:val="22"/>
                <w:szCs w:val="22"/>
                <w:highlight w:val="lightGray"/>
                <w:lang w:val="en-US"/>
              </w:rPr>
              <w:t xml:space="preserve">Article 14 bis </w:t>
            </w:r>
          </w:p>
          <w:p w14:paraId="082B340A" w14:textId="77777777" w:rsidR="004A3EA2" w:rsidRPr="000E686B" w:rsidRDefault="004A3EA2" w:rsidP="004A3EA2">
            <w:pPr>
              <w:pStyle w:val="Standard"/>
              <w:jc w:val="both"/>
              <w:rPr>
                <w:rFonts w:asciiTheme="minorHAnsi" w:hAnsiTheme="minorHAnsi" w:cstheme="minorHAnsi"/>
                <w:b/>
                <w:i/>
                <w:sz w:val="22"/>
                <w:szCs w:val="22"/>
                <w:highlight w:val="lightGray"/>
                <w:lang w:val="en-US"/>
              </w:rPr>
            </w:pPr>
          </w:p>
          <w:p w14:paraId="2496D328" w14:textId="04FD397E" w:rsidR="004A3EA2" w:rsidRPr="000E686B" w:rsidRDefault="004A3EA2" w:rsidP="004A3EA2">
            <w:pPr>
              <w:pStyle w:val="Standard"/>
              <w:jc w:val="both"/>
              <w:rPr>
                <w:rFonts w:asciiTheme="minorHAnsi" w:hAnsiTheme="minorHAnsi" w:cstheme="minorHAnsi"/>
                <w:b/>
                <w:i/>
                <w:sz w:val="22"/>
                <w:szCs w:val="22"/>
                <w:highlight w:val="lightGray"/>
                <w:lang w:val="en-US"/>
              </w:rPr>
            </w:pPr>
            <w:r w:rsidRPr="000E686B">
              <w:rPr>
                <w:rFonts w:asciiTheme="minorHAnsi" w:hAnsiTheme="minorHAnsi" w:cstheme="minorHAnsi"/>
                <w:b/>
                <w:i/>
                <w:sz w:val="22"/>
                <w:szCs w:val="22"/>
                <w:highlight w:val="lightGray"/>
                <w:lang w:val="en-US"/>
              </w:rPr>
              <w:t xml:space="preserve">1. </w:t>
            </w:r>
            <w:r w:rsidR="000E686B">
              <w:rPr>
                <w:rFonts w:asciiTheme="minorHAnsi" w:hAnsiTheme="minorHAnsi" w:cstheme="minorHAnsi"/>
                <w:b/>
                <w:i/>
                <w:sz w:val="22"/>
                <w:szCs w:val="22"/>
                <w:highlight w:val="lightGray"/>
                <w:lang w:val="en-US"/>
              </w:rPr>
              <w:t xml:space="preserve">By way of exception from article 14.1, </w:t>
            </w:r>
            <w:r w:rsidRPr="000E686B">
              <w:rPr>
                <w:rFonts w:asciiTheme="minorHAnsi" w:hAnsiTheme="minorHAnsi" w:cstheme="minorHAnsi"/>
                <w:b/>
                <w:i/>
                <w:sz w:val="22"/>
                <w:szCs w:val="22"/>
                <w:highlight w:val="lightGray"/>
                <w:lang w:val="en-US"/>
              </w:rPr>
              <w:t xml:space="preserve">Member States shall ensure that a limitation period of 10 years applies to the initiating of proceedings for claiming compensation for damage from </w:t>
            </w:r>
            <w:r w:rsidRPr="000E686B">
              <w:rPr>
                <w:rFonts w:asciiTheme="minorHAnsi" w:eastAsia="Times New Roman" w:hAnsiTheme="minorHAnsi" w:cstheme="minorHAnsi"/>
                <w:b/>
                <w:bCs/>
                <w:i/>
                <w:color w:val="222222"/>
                <w:sz w:val="22"/>
                <w:szCs w:val="22"/>
                <w:highlight w:val="lightGray"/>
                <w:lang w:val="en-US"/>
              </w:rPr>
              <w:t>medicinal products, medical devices and health technologies</w:t>
            </w:r>
            <w:r w:rsidRPr="000E686B">
              <w:rPr>
                <w:rFonts w:asciiTheme="minorHAnsi" w:hAnsiTheme="minorHAnsi" w:cstheme="minorHAnsi"/>
                <w:b/>
                <w:i/>
                <w:sz w:val="22"/>
                <w:szCs w:val="22"/>
                <w:highlight w:val="lightGray"/>
                <w:lang w:val="en-US"/>
              </w:rPr>
              <w:t xml:space="preserve"> falling within the scope of this Directive. The limitation period shall begin to run from the day on which the injured person became aware of all of the following: </w:t>
            </w:r>
          </w:p>
          <w:p w14:paraId="492F6DFD" w14:textId="77777777" w:rsidR="004A3EA2" w:rsidRPr="000E686B" w:rsidRDefault="004A3EA2" w:rsidP="004A3EA2">
            <w:pPr>
              <w:pStyle w:val="Standard"/>
              <w:jc w:val="both"/>
              <w:rPr>
                <w:rFonts w:asciiTheme="minorHAnsi" w:hAnsiTheme="minorHAnsi" w:cstheme="minorHAnsi"/>
                <w:b/>
                <w:i/>
                <w:sz w:val="22"/>
                <w:szCs w:val="22"/>
                <w:highlight w:val="lightGray"/>
                <w:lang w:val="en-US"/>
              </w:rPr>
            </w:pPr>
            <w:r w:rsidRPr="000E686B">
              <w:rPr>
                <w:rFonts w:asciiTheme="minorHAnsi" w:hAnsiTheme="minorHAnsi" w:cstheme="minorHAnsi"/>
                <w:b/>
                <w:i/>
                <w:sz w:val="22"/>
                <w:szCs w:val="22"/>
                <w:highlight w:val="lightGray"/>
                <w:lang w:val="en-US"/>
              </w:rPr>
              <w:t xml:space="preserve">(a) the damage; </w:t>
            </w:r>
          </w:p>
          <w:p w14:paraId="3B9B4F30" w14:textId="77777777" w:rsidR="004A3EA2" w:rsidRPr="000E686B" w:rsidRDefault="004A3EA2" w:rsidP="004A3EA2">
            <w:pPr>
              <w:pStyle w:val="Standard"/>
              <w:jc w:val="both"/>
              <w:rPr>
                <w:rFonts w:asciiTheme="minorHAnsi" w:hAnsiTheme="minorHAnsi" w:cstheme="minorHAnsi"/>
                <w:b/>
                <w:i/>
                <w:sz w:val="22"/>
                <w:szCs w:val="22"/>
                <w:highlight w:val="lightGray"/>
                <w:lang w:val="en-US"/>
              </w:rPr>
            </w:pPr>
            <w:r w:rsidRPr="000E686B">
              <w:rPr>
                <w:rFonts w:asciiTheme="minorHAnsi" w:hAnsiTheme="minorHAnsi" w:cstheme="minorHAnsi"/>
                <w:b/>
                <w:i/>
                <w:strike/>
                <w:sz w:val="22"/>
                <w:szCs w:val="22"/>
                <w:highlight w:val="lightGray"/>
                <w:lang w:val="en-US"/>
              </w:rPr>
              <w:t>(b) the defectiveness</w:t>
            </w:r>
            <w:r w:rsidRPr="000E686B">
              <w:rPr>
                <w:rFonts w:asciiTheme="minorHAnsi" w:hAnsiTheme="minorHAnsi" w:cstheme="minorHAnsi"/>
                <w:b/>
                <w:i/>
                <w:sz w:val="22"/>
                <w:szCs w:val="22"/>
                <w:highlight w:val="lightGray"/>
                <w:lang w:val="en-US"/>
              </w:rPr>
              <w:t xml:space="preserve">; </w:t>
            </w:r>
          </w:p>
          <w:p w14:paraId="5039BAD4" w14:textId="77777777" w:rsidR="004A3EA2" w:rsidRPr="000E686B" w:rsidRDefault="004A3EA2" w:rsidP="004A3EA2">
            <w:pPr>
              <w:pStyle w:val="Standard"/>
              <w:jc w:val="both"/>
              <w:rPr>
                <w:rFonts w:asciiTheme="minorHAnsi" w:hAnsiTheme="minorHAnsi" w:cstheme="minorHAnsi"/>
                <w:b/>
                <w:i/>
                <w:sz w:val="22"/>
                <w:szCs w:val="22"/>
                <w:highlight w:val="lightGray"/>
                <w:lang w:val="en-US"/>
              </w:rPr>
            </w:pPr>
            <w:r w:rsidRPr="000E686B">
              <w:rPr>
                <w:rFonts w:asciiTheme="minorHAnsi" w:hAnsiTheme="minorHAnsi" w:cstheme="minorHAnsi"/>
                <w:b/>
                <w:i/>
                <w:sz w:val="22"/>
                <w:szCs w:val="22"/>
                <w:highlight w:val="lightGray"/>
                <w:lang w:val="en-US"/>
              </w:rPr>
              <w:t xml:space="preserve">(c) the identity of the relevant economic operator that can be held liable for the damage in accordance with Article 7. </w:t>
            </w:r>
          </w:p>
          <w:p w14:paraId="1776C819" w14:textId="09555046" w:rsidR="004A3EA2" w:rsidRPr="000E686B" w:rsidRDefault="004A3EA2" w:rsidP="004A3EA2">
            <w:pPr>
              <w:pStyle w:val="Standard"/>
              <w:jc w:val="both"/>
              <w:rPr>
                <w:rFonts w:asciiTheme="minorHAnsi" w:hAnsiTheme="minorHAnsi" w:cstheme="minorHAnsi"/>
                <w:b/>
                <w:i/>
                <w:sz w:val="22"/>
                <w:szCs w:val="22"/>
                <w:highlight w:val="lightGray"/>
                <w:lang w:val="en-US"/>
              </w:rPr>
            </w:pPr>
            <w:r w:rsidRPr="000E686B">
              <w:rPr>
                <w:rFonts w:asciiTheme="minorHAnsi" w:hAnsiTheme="minorHAnsi" w:cstheme="minorHAnsi"/>
                <w:b/>
                <w:i/>
                <w:sz w:val="22"/>
                <w:szCs w:val="22"/>
                <w:highlight w:val="lightGray"/>
                <w:lang w:val="en-US"/>
              </w:rPr>
              <w:t>The laws of Member States regulating suspension or interruption of the limitation period referred to in the first subparagraph shall not be affected by this Directive.</w:t>
            </w:r>
          </w:p>
        </w:tc>
      </w:tr>
    </w:tbl>
    <w:p w14:paraId="139DCD2D" w14:textId="77777777" w:rsidR="005416B9" w:rsidRPr="008B65C6" w:rsidRDefault="005416B9" w:rsidP="00586029">
      <w:pPr>
        <w:pStyle w:val="Standard"/>
        <w:shd w:val="clear" w:color="auto" w:fill="FFFFFF"/>
        <w:jc w:val="both"/>
        <w:rPr>
          <w:rFonts w:asciiTheme="minorHAnsi" w:eastAsia="Times New Roman" w:hAnsiTheme="minorHAnsi" w:cstheme="minorHAnsi"/>
          <w:color w:val="222222"/>
          <w:sz w:val="22"/>
          <w:szCs w:val="22"/>
          <w:lang w:val="en-US"/>
        </w:rPr>
      </w:pPr>
    </w:p>
    <w:sectPr w:rsidR="005416B9" w:rsidRPr="008B65C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2467E" w14:textId="77777777" w:rsidR="00BB63B4" w:rsidRDefault="00BB63B4" w:rsidP="00D44DDB">
      <w:pPr>
        <w:spacing w:after="0" w:line="240" w:lineRule="auto"/>
      </w:pPr>
      <w:r>
        <w:separator/>
      </w:r>
    </w:p>
  </w:endnote>
  <w:endnote w:type="continuationSeparator" w:id="0">
    <w:p w14:paraId="70AD5572" w14:textId="77777777" w:rsidR="00BB63B4" w:rsidRDefault="00BB63B4" w:rsidP="00D44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E4316" w14:textId="77777777" w:rsidR="00FC798B" w:rsidRDefault="00FC798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7204148"/>
      <w:docPartObj>
        <w:docPartGallery w:val="Page Numbers (Bottom of Page)"/>
        <w:docPartUnique/>
      </w:docPartObj>
    </w:sdtPr>
    <w:sdtContent>
      <w:p w14:paraId="5B79C0AC" w14:textId="2AF6ADC8" w:rsidR="006B15AF" w:rsidRDefault="006B15AF">
        <w:pPr>
          <w:pStyle w:val="Pieddepage"/>
          <w:jc w:val="right"/>
        </w:pPr>
        <w:r>
          <w:fldChar w:fldCharType="begin"/>
        </w:r>
        <w:r>
          <w:instrText>PAGE   \* MERGEFORMAT</w:instrText>
        </w:r>
        <w:r>
          <w:fldChar w:fldCharType="separate"/>
        </w:r>
        <w:r>
          <w:rPr>
            <w:lang w:val="fr-FR"/>
          </w:rPr>
          <w:t>2</w:t>
        </w:r>
        <w:r>
          <w:fldChar w:fldCharType="end"/>
        </w:r>
      </w:p>
    </w:sdtContent>
  </w:sdt>
  <w:p w14:paraId="5D7660F0" w14:textId="77777777" w:rsidR="00680E92" w:rsidRDefault="00680E9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819FB" w14:textId="77777777" w:rsidR="00FC798B" w:rsidRDefault="00FC79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0E9CE" w14:textId="77777777" w:rsidR="00BB63B4" w:rsidRDefault="00BB63B4" w:rsidP="00D44DDB">
      <w:pPr>
        <w:spacing w:after="0" w:line="240" w:lineRule="auto"/>
      </w:pPr>
      <w:r>
        <w:separator/>
      </w:r>
    </w:p>
  </w:footnote>
  <w:footnote w:type="continuationSeparator" w:id="0">
    <w:p w14:paraId="72E7EF45" w14:textId="77777777" w:rsidR="00BB63B4" w:rsidRDefault="00BB63B4" w:rsidP="00D44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66930" w14:textId="23AB6A78" w:rsidR="00680E92" w:rsidRDefault="00BB63B4">
    <w:pPr>
      <w:pStyle w:val="En-tte"/>
    </w:pPr>
    <w:r>
      <w:rPr>
        <w:noProof/>
      </w:rPr>
      <w:pict w14:anchorId="268DB1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26.35pt;height:213.1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83137" w14:textId="02204C59" w:rsidR="00680E92" w:rsidRDefault="00BB63B4">
    <w:pPr>
      <w:pStyle w:val="En-tte"/>
    </w:pPr>
    <w:r>
      <w:rPr>
        <w:noProof/>
      </w:rPr>
      <w:pict w14:anchorId="20AEF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26.35pt;height:213.1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F12A" w14:textId="748EC1BD" w:rsidR="00680E92" w:rsidRDefault="00680E9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50476"/>
    <w:multiLevelType w:val="hybridMultilevel"/>
    <w:tmpl w:val="24B6CA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7BD1912"/>
    <w:multiLevelType w:val="hybridMultilevel"/>
    <w:tmpl w:val="B552975A"/>
    <w:lvl w:ilvl="0" w:tplc="2AF4445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031228D"/>
    <w:multiLevelType w:val="hybridMultilevel"/>
    <w:tmpl w:val="24B6CA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8C14730"/>
    <w:multiLevelType w:val="hybridMultilevel"/>
    <w:tmpl w:val="B552975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1859704">
    <w:abstractNumId w:val="1"/>
  </w:num>
  <w:num w:numId="2" w16cid:durableId="231043772">
    <w:abstractNumId w:val="3"/>
  </w:num>
  <w:num w:numId="3" w16cid:durableId="1548489885">
    <w:abstractNumId w:val="2"/>
  </w:num>
  <w:num w:numId="4" w16cid:durableId="1535121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029"/>
    <w:rsid w:val="0000715B"/>
    <w:rsid w:val="0001130C"/>
    <w:rsid w:val="000E2332"/>
    <w:rsid w:val="000E686B"/>
    <w:rsid w:val="00142D50"/>
    <w:rsid w:val="00156A6A"/>
    <w:rsid w:val="0016767C"/>
    <w:rsid w:val="00177107"/>
    <w:rsid w:val="00184BB8"/>
    <w:rsid w:val="0019216F"/>
    <w:rsid w:val="001C1413"/>
    <w:rsid w:val="0020504F"/>
    <w:rsid w:val="0020577C"/>
    <w:rsid w:val="00220620"/>
    <w:rsid w:val="00265248"/>
    <w:rsid w:val="002660E7"/>
    <w:rsid w:val="0029050E"/>
    <w:rsid w:val="002C1A1D"/>
    <w:rsid w:val="003025FE"/>
    <w:rsid w:val="0031109E"/>
    <w:rsid w:val="00323133"/>
    <w:rsid w:val="00382E2B"/>
    <w:rsid w:val="003915BB"/>
    <w:rsid w:val="003B2511"/>
    <w:rsid w:val="003C7301"/>
    <w:rsid w:val="00442B40"/>
    <w:rsid w:val="004A3EA2"/>
    <w:rsid w:val="005002D6"/>
    <w:rsid w:val="00525B4E"/>
    <w:rsid w:val="00527BD1"/>
    <w:rsid w:val="005416B9"/>
    <w:rsid w:val="00541A5C"/>
    <w:rsid w:val="00546332"/>
    <w:rsid w:val="00563054"/>
    <w:rsid w:val="00572AE4"/>
    <w:rsid w:val="00577DBC"/>
    <w:rsid w:val="00586029"/>
    <w:rsid w:val="005C195A"/>
    <w:rsid w:val="005E22D3"/>
    <w:rsid w:val="00600AC3"/>
    <w:rsid w:val="00602ED7"/>
    <w:rsid w:val="00643250"/>
    <w:rsid w:val="00646944"/>
    <w:rsid w:val="00680E92"/>
    <w:rsid w:val="00691ACF"/>
    <w:rsid w:val="006B15AF"/>
    <w:rsid w:val="006E1EEF"/>
    <w:rsid w:val="006F5135"/>
    <w:rsid w:val="0077418B"/>
    <w:rsid w:val="007E070B"/>
    <w:rsid w:val="00807AD8"/>
    <w:rsid w:val="00833105"/>
    <w:rsid w:val="00860F45"/>
    <w:rsid w:val="00862900"/>
    <w:rsid w:val="008809F5"/>
    <w:rsid w:val="00884B22"/>
    <w:rsid w:val="008B65C6"/>
    <w:rsid w:val="008C7E0C"/>
    <w:rsid w:val="008F0B2D"/>
    <w:rsid w:val="0091420D"/>
    <w:rsid w:val="0092207F"/>
    <w:rsid w:val="009702BC"/>
    <w:rsid w:val="009A6B46"/>
    <w:rsid w:val="009B1D22"/>
    <w:rsid w:val="009C7729"/>
    <w:rsid w:val="009E36EB"/>
    <w:rsid w:val="00A21C45"/>
    <w:rsid w:val="00A42AB6"/>
    <w:rsid w:val="00A95E1E"/>
    <w:rsid w:val="00AB07B9"/>
    <w:rsid w:val="00AD7853"/>
    <w:rsid w:val="00B0300B"/>
    <w:rsid w:val="00B203A8"/>
    <w:rsid w:val="00BB63B4"/>
    <w:rsid w:val="00C0676D"/>
    <w:rsid w:val="00C26D2B"/>
    <w:rsid w:val="00C3329F"/>
    <w:rsid w:val="00C35D54"/>
    <w:rsid w:val="00C5337A"/>
    <w:rsid w:val="00C60FB6"/>
    <w:rsid w:val="00C70895"/>
    <w:rsid w:val="00C850D7"/>
    <w:rsid w:val="00CC5A76"/>
    <w:rsid w:val="00CD023A"/>
    <w:rsid w:val="00D44DDB"/>
    <w:rsid w:val="00D811BB"/>
    <w:rsid w:val="00D87DDE"/>
    <w:rsid w:val="00DC7ED3"/>
    <w:rsid w:val="00E3193E"/>
    <w:rsid w:val="00E350CE"/>
    <w:rsid w:val="00E532AA"/>
    <w:rsid w:val="00ED7538"/>
    <w:rsid w:val="00F02A83"/>
    <w:rsid w:val="00F23E05"/>
    <w:rsid w:val="00F41B47"/>
    <w:rsid w:val="00F41CED"/>
    <w:rsid w:val="00F55932"/>
    <w:rsid w:val="00F82D41"/>
    <w:rsid w:val="00FB69AB"/>
    <w:rsid w:val="00FC79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C3EB7"/>
  <w15:chartTrackingRefBased/>
  <w15:docId w15:val="{AFDFE5BE-D1D5-4258-BD27-3834821D0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586029"/>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table" w:styleId="Grilledutableau">
    <w:name w:val="Table Grid"/>
    <w:basedOn w:val="TableauNormal"/>
    <w:uiPriority w:val="39"/>
    <w:rsid w:val="009C7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02ED7"/>
    <w:rPr>
      <w:color w:val="0000FF"/>
      <w:u w:val="single"/>
    </w:rPr>
  </w:style>
  <w:style w:type="paragraph" w:styleId="Rvision">
    <w:name w:val="Revision"/>
    <w:hidden/>
    <w:uiPriority w:val="99"/>
    <w:semiHidden/>
    <w:rsid w:val="00D44DDB"/>
    <w:pPr>
      <w:spacing w:after="0" w:line="240" w:lineRule="auto"/>
    </w:pPr>
    <w:rPr>
      <w:lang w:val="en-GB"/>
    </w:rPr>
  </w:style>
  <w:style w:type="paragraph" w:styleId="Notedebasdepage">
    <w:name w:val="footnote text"/>
    <w:basedOn w:val="Normal"/>
    <w:link w:val="NotedebasdepageCar"/>
    <w:uiPriority w:val="99"/>
    <w:semiHidden/>
    <w:unhideWhenUsed/>
    <w:rsid w:val="00D44DD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44DDB"/>
    <w:rPr>
      <w:sz w:val="20"/>
      <w:szCs w:val="20"/>
      <w:lang w:val="en-GB"/>
    </w:rPr>
  </w:style>
  <w:style w:type="character" w:styleId="Appelnotedebasdep">
    <w:name w:val="footnote reference"/>
    <w:basedOn w:val="Policepardfaut"/>
    <w:uiPriority w:val="99"/>
    <w:semiHidden/>
    <w:unhideWhenUsed/>
    <w:rsid w:val="00D44DDB"/>
    <w:rPr>
      <w:vertAlign w:val="superscript"/>
    </w:rPr>
  </w:style>
  <w:style w:type="character" w:styleId="Accentuation">
    <w:name w:val="Emphasis"/>
    <w:basedOn w:val="Policepardfaut"/>
    <w:uiPriority w:val="20"/>
    <w:qFormat/>
    <w:rsid w:val="008809F5"/>
    <w:rPr>
      <w:i/>
      <w:iCs/>
    </w:rPr>
  </w:style>
  <w:style w:type="paragraph" w:styleId="Textedebulles">
    <w:name w:val="Balloon Text"/>
    <w:basedOn w:val="Normal"/>
    <w:link w:val="TextedebullesCar"/>
    <w:uiPriority w:val="99"/>
    <w:semiHidden/>
    <w:unhideWhenUsed/>
    <w:rsid w:val="00E350C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50CE"/>
    <w:rPr>
      <w:rFonts w:ascii="Segoe UI" w:hAnsi="Segoe UI" w:cs="Segoe UI"/>
      <w:sz w:val="18"/>
      <w:szCs w:val="18"/>
      <w:lang w:val="en-GB"/>
    </w:rPr>
  </w:style>
  <w:style w:type="character" w:styleId="Lienhypertextesuivivisit">
    <w:name w:val="FollowedHyperlink"/>
    <w:basedOn w:val="Policepardfaut"/>
    <w:uiPriority w:val="99"/>
    <w:semiHidden/>
    <w:unhideWhenUsed/>
    <w:rsid w:val="009E36EB"/>
    <w:rPr>
      <w:color w:val="954F72" w:themeColor="followedHyperlink"/>
      <w:u w:val="single"/>
    </w:rPr>
  </w:style>
  <w:style w:type="paragraph" w:customStyle="1" w:styleId="Point1">
    <w:name w:val="Point 1"/>
    <w:basedOn w:val="Normal"/>
    <w:rsid w:val="00E532AA"/>
    <w:pPr>
      <w:spacing w:before="120" w:after="120" w:line="240" w:lineRule="auto"/>
      <w:ind w:left="1417" w:hanging="567"/>
      <w:jc w:val="both"/>
    </w:pPr>
    <w:rPr>
      <w:rFonts w:ascii="Times New Roman" w:hAnsi="Times New Roman" w:cs="Times New Roman"/>
      <w:sz w:val="24"/>
      <w:lang w:val="fr-FR"/>
    </w:rPr>
  </w:style>
  <w:style w:type="paragraph" w:customStyle="1" w:styleId="ManualConsidrant">
    <w:name w:val="Manual Considérant"/>
    <w:basedOn w:val="Normal"/>
    <w:rsid w:val="007E070B"/>
    <w:pPr>
      <w:spacing w:before="120" w:after="120" w:line="240" w:lineRule="auto"/>
      <w:ind w:left="709" w:hanging="709"/>
      <w:jc w:val="both"/>
    </w:pPr>
    <w:rPr>
      <w:rFonts w:ascii="Times New Roman" w:hAnsi="Times New Roman" w:cs="Times New Roman"/>
      <w:sz w:val="24"/>
    </w:rPr>
  </w:style>
  <w:style w:type="paragraph" w:styleId="En-tte">
    <w:name w:val="header"/>
    <w:basedOn w:val="Normal"/>
    <w:link w:val="En-tteCar"/>
    <w:uiPriority w:val="99"/>
    <w:unhideWhenUsed/>
    <w:rsid w:val="00680E92"/>
    <w:pPr>
      <w:tabs>
        <w:tab w:val="center" w:pos="4513"/>
        <w:tab w:val="right" w:pos="9026"/>
      </w:tabs>
      <w:spacing w:after="0" w:line="240" w:lineRule="auto"/>
    </w:pPr>
  </w:style>
  <w:style w:type="character" w:customStyle="1" w:styleId="En-tteCar">
    <w:name w:val="En-tête Car"/>
    <w:basedOn w:val="Policepardfaut"/>
    <w:link w:val="En-tte"/>
    <w:uiPriority w:val="99"/>
    <w:rsid w:val="00680E92"/>
    <w:rPr>
      <w:lang w:val="en-GB"/>
    </w:rPr>
  </w:style>
  <w:style w:type="paragraph" w:styleId="Pieddepage">
    <w:name w:val="footer"/>
    <w:basedOn w:val="Normal"/>
    <w:link w:val="PieddepageCar"/>
    <w:uiPriority w:val="99"/>
    <w:unhideWhenUsed/>
    <w:rsid w:val="00680E92"/>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680E92"/>
    <w:rPr>
      <w:lang w:val="en-GB"/>
    </w:rPr>
  </w:style>
  <w:style w:type="character" w:styleId="Mentionnonrsolue">
    <w:name w:val="Unresolved Mention"/>
    <w:basedOn w:val="Policepardfaut"/>
    <w:uiPriority w:val="99"/>
    <w:semiHidden/>
    <w:unhideWhenUsed/>
    <w:rsid w:val="00862900"/>
    <w:rPr>
      <w:color w:val="605E5C"/>
      <w:shd w:val="clear" w:color="auto" w:fill="E1DFDD"/>
    </w:rPr>
  </w:style>
  <w:style w:type="character" w:styleId="Marquedecommentaire">
    <w:name w:val="annotation reference"/>
    <w:basedOn w:val="Policepardfaut"/>
    <w:uiPriority w:val="99"/>
    <w:semiHidden/>
    <w:unhideWhenUsed/>
    <w:rsid w:val="006B15AF"/>
    <w:rPr>
      <w:sz w:val="16"/>
      <w:szCs w:val="16"/>
    </w:rPr>
  </w:style>
  <w:style w:type="paragraph" w:styleId="Commentaire">
    <w:name w:val="annotation text"/>
    <w:basedOn w:val="Normal"/>
    <w:link w:val="CommentaireCar"/>
    <w:uiPriority w:val="99"/>
    <w:semiHidden/>
    <w:unhideWhenUsed/>
    <w:rsid w:val="006B15AF"/>
    <w:pPr>
      <w:spacing w:line="240" w:lineRule="auto"/>
    </w:pPr>
    <w:rPr>
      <w:sz w:val="20"/>
      <w:szCs w:val="20"/>
    </w:rPr>
  </w:style>
  <w:style w:type="character" w:customStyle="1" w:styleId="CommentaireCar">
    <w:name w:val="Commentaire Car"/>
    <w:basedOn w:val="Policepardfaut"/>
    <w:link w:val="Commentaire"/>
    <w:uiPriority w:val="99"/>
    <w:semiHidden/>
    <w:rsid w:val="006B15AF"/>
    <w:rPr>
      <w:sz w:val="20"/>
      <w:szCs w:val="20"/>
      <w:lang w:val="en-GB"/>
    </w:rPr>
  </w:style>
  <w:style w:type="paragraph" w:styleId="Objetducommentaire">
    <w:name w:val="annotation subject"/>
    <w:basedOn w:val="Commentaire"/>
    <w:next w:val="Commentaire"/>
    <w:link w:val="ObjetducommentaireCar"/>
    <w:uiPriority w:val="99"/>
    <w:semiHidden/>
    <w:unhideWhenUsed/>
    <w:rsid w:val="006B15AF"/>
    <w:rPr>
      <w:b/>
      <w:bCs/>
    </w:rPr>
  </w:style>
  <w:style w:type="character" w:customStyle="1" w:styleId="ObjetducommentaireCar">
    <w:name w:val="Objet du commentaire Car"/>
    <w:basedOn w:val="CommentaireCar"/>
    <w:link w:val="Objetducommentaire"/>
    <w:uiPriority w:val="99"/>
    <w:semiHidden/>
    <w:rsid w:val="006B15AF"/>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046516">
      <w:bodyDiv w:val="1"/>
      <w:marLeft w:val="0"/>
      <w:marRight w:val="0"/>
      <w:marTop w:val="0"/>
      <w:marBottom w:val="0"/>
      <w:divBdr>
        <w:top w:val="none" w:sz="0" w:space="0" w:color="auto"/>
        <w:left w:val="none" w:sz="0" w:space="0" w:color="auto"/>
        <w:bottom w:val="none" w:sz="0" w:space="0" w:color="auto"/>
        <w:right w:val="none" w:sz="0" w:space="0" w:color="auto"/>
      </w:divBdr>
    </w:div>
    <w:div w:id="491456786">
      <w:bodyDiv w:val="1"/>
      <w:marLeft w:val="0"/>
      <w:marRight w:val="0"/>
      <w:marTop w:val="0"/>
      <w:marBottom w:val="0"/>
      <w:divBdr>
        <w:top w:val="none" w:sz="0" w:space="0" w:color="auto"/>
        <w:left w:val="none" w:sz="0" w:space="0" w:color="auto"/>
        <w:bottom w:val="none" w:sz="0" w:space="0" w:color="auto"/>
        <w:right w:val="none" w:sz="0" w:space="0" w:color="auto"/>
      </w:divBdr>
    </w:div>
    <w:div w:id="800613361">
      <w:bodyDiv w:val="1"/>
      <w:marLeft w:val="0"/>
      <w:marRight w:val="0"/>
      <w:marTop w:val="0"/>
      <w:marBottom w:val="0"/>
      <w:divBdr>
        <w:top w:val="none" w:sz="0" w:space="0" w:color="auto"/>
        <w:left w:val="none" w:sz="0" w:space="0" w:color="auto"/>
        <w:bottom w:val="none" w:sz="0" w:space="0" w:color="auto"/>
        <w:right w:val="none" w:sz="0" w:space="0" w:color="auto"/>
      </w:divBdr>
    </w:div>
    <w:div w:id="165683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parl.europa.eu/RegData/docs_autres_institutions/commission_europeenne/com/2022/0495/COM_COM(2022)0495_EN.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prescrire.org/fr/Summary.aspx" TargetMode="External"/><Relationship Id="rId4" Type="http://schemas.openxmlformats.org/officeDocument/2006/relationships/settings" Target="settings.xml"/><Relationship Id="rId9" Type="http://schemas.openxmlformats.org/officeDocument/2006/relationships/hyperlink" Target="https://www.france-assos-sante.org/"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C039D-397D-4455-A033-36401DFFF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2472</Words>
  <Characters>13597</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massimiliano di giorgio</cp:lastModifiedBy>
  <cp:revision>2</cp:revision>
  <dcterms:created xsi:type="dcterms:W3CDTF">2023-04-21T15:47:00Z</dcterms:created>
  <dcterms:modified xsi:type="dcterms:W3CDTF">2023-04-21T15:47:00Z</dcterms:modified>
</cp:coreProperties>
</file>